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before="156" w:beforeLines="50" w:after="156" w:afterLines="50" w:line="572" w:lineRule="exact"/>
        <w:jc w:val="center"/>
        <w:rPr>
          <w:rFonts w:hint="eastAsia" w:ascii="方正小标宋简体" w:hAnsi="方正小标宋简体" w:eastAsia="方正小标宋简体" w:cs="方正小标宋简体"/>
          <w:kern w:val="0"/>
          <w:sz w:val="44"/>
          <w:szCs w:val="44"/>
        </w:rPr>
      </w:pPr>
    </w:p>
    <w:p>
      <w:pPr>
        <w:overflowPunct w:val="0"/>
        <w:spacing w:before="156" w:beforeLines="50" w:after="156" w:afterLines="50" w:line="572" w:lineRule="exact"/>
        <w:jc w:val="center"/>
        <w:outlineLvl w:val="0"/>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采购需求表（物资类）</w:t>
      </w:r>
    </w:p>
    <w:tbl>
      <w:tblPr>
        <w:tblStyle w:val="6"/>
        <w:tblpPr w:leftFromText="180" w:rightFromText="180" w:vertAnchor="text" w:horzAnchor="page" w:tblpX="1562" w:tblpY="807"/>
        <w:tblOverlap w:val="never"/>
        <w:tblW w:w="9060" w:type="dxa"/>
        <w:tblInd w:w="0" w:type="dxa"/>
        <w:tblLayout w:type="fixed"/>
        <w:tblCellMar>
          <w:top w:w="0" w:type="dxa"/>
          <w:left w:w="108" w:type="dxa"/>
          <w:bottom w:w="0" w:type="dxa"/>
          <w:right w:w="108" w:type="dxa"/>
        </w:tblCellMar>
      </w:tblPr>
      <w:tblGrid>
        <w:gridCol w:w="501"/>
        <w:gridCol w:w="669"/>
        <w:gridCol w:w="720"/>
        <w:gridCol w:w="720"/>
        <w:gridCol w:w="192"/>
        <w:gridCol w:w="978"/>
        <w:gridCol w:w="2115"/>
        <w:gridCol w:w="876"/>
        <w:gridCol w:w="850"/>
        <w:gridCol w:w="1439"/>
      </w:tblGrid>
      <w:tr>
        <w:tblPrEx>
          <w:tblLayout w:type="fixed"/>
          <w:tblCellMar>
            <w:top w:w="0" w:type="dxa"/>
            <w:left w:w="108" w:type="dxa"/>
            <w:bottom w:w="0" w:type="dxa"/>
            <w:right w:w="108" w:type="dxa"/>
          </w:tblCellMar>
        </w:tblPrEx>
        <w:trPr>
          <w:trHeight w:val="600" w:hRule="atLeast"/>
        </w:trPr>
        <w:tc>
          <w:tcPr>
            <w:tcW w:w="9060" w:type="dxa"/>
            <w:gridSpan w:val="10"/>
            <w:tcBorders>
              <w:top w:val="nil"/>
              <w:left w:val="nil"/>
              <w:bottom w:val="nil"/>
              <w:right w:val="nil"/>
            </w:tcBorders>
            <w:vAlign w:val="center"/>
          </w:tcPr>
          <w:p>
            <w:pPr>
              <w:widowControl/>
              <w:spacing w:line="360" w:lineRule="exact"/>
              <w:jc w:val="left"/>
              <w:textAlignment w:val="center"/>
              <w:rPr>
                <w:rFonts w:hint="eastAsia" w:ascii="宋体" w:hAnsi="宋体" w:cs="宋体"/>
              </w:rPr>
            </w:pPr>
          </w:p>
        </w:tc>
      </w:tr>
      <w:tr>
        <w:tblPrEx>
          <w:tblLayout w:type="fixed"/>
          <w:tblCellMar>
            <w:top w:w="0" w:type="dxa"/>
            <w:left w:w="108" w:type="dxa"/>
            <w:bottom w:w="0" w:type="dxa"/>
            <w:right w:w="108" w:type="dxa"/>
          </w:tblCellMar>
        </w:tblPrEx>
        <w:trPr>
          <w:trHeight w:val="500" w:hRule="atLeast"/>
        </w:trPr>
        <w:tc>
          <w:tcPr>
            <w:tcW w:w="11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lang w:eastAsia="zh-CN"/>
              </w:rPr>
            </w:pPr>
            <w:r>
              <w:rPr>
                <w:rFonts w:hint="eastAsia" w:ascii="黑体" w:hAnsi="宋体" w:eastAsia="黑体" w:cs="黑体"/>
                <w:kern w:val="0"/>
                <w:sz w:val="20"/>
                <w:lang w:val="en-US" w:eastAsia="zh-CN" w:bidi="ar"/>
              </w:rPr>
              <w:t>/</w:t>
            </w:r>
          </w:p>
        </w:tc>
        <w:tc>
          <w:tcPr>
            <w:tcW w:w="1632" w:type="dxa"/>
            <w:gridSpan w:val="3"/>
            <w:tcBorders>
              <w:top w:val="single" w:color="000000" w:sz="4" w:space="0"/>
              <w:left w:val="single" w:color="000000" w:sz="4" w:space="0"/>
              <w:bottom w:val="single" w:color="000000" w:sz="4" w:space="0"/>
              <w:right w:val="nil"/>
            </w:tcBorders>
            <w:vAlign w:val="center"/>
          </w:tcPr>
          <w:p>
            <w:pPr>
              <w:widowControl/>
              <w:spacing w:line="240" w:lineRule="exact"/>
              <w:jc w:val="center"/>
              <w:rPr>
                <w:rFonts w:hint="eastAsia" w:ascii="黑体" w:hAnsi="宋体" w:eastAsia="黑体" w:cs="黑体"/>
                <w:sz w:val="20"/>
                <w:lang w:eastAsia="zh-CN"/>
              </w:rPr>
            </w:pPr>
            <w:r>
              <w:rPr>
                <w:rFonts w:hint="eastAsia" w:ascii="黑体" w:hAnsi="宋体" w:eastAsia="黑体" w:cs="黑体"/>
                <w:sz w:val="20"/>
                <w:lang w:val="en-US" w:eastAsia="zh-CN"/>
              </w:rPr>
              <w:t>/</w:t>
            </w:r>
          </w:p>
        </w:tc>
        <w:tc>
          <w:tcPr>
            <w:tcW w:w="978" w:type="dxa"/>
            <w:tcBorders>
              <w:top w:val="single" w:color="000000" w:sz="4" w:space="0"/>
              <w:left w:val="single" w:color="000000" w:sz="4" w:space="0"/>
              <w:bottom w:val="nil"/>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项目名称</w:t>
            </w:r>
          </w:p>
        </w:tc>
        <w:tc>
          <w:tcPr>
            <w:tcW w:w="211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黑体" w:hAnsi="宋体" w:eastAsia="黑体" w:cs="黑体"/>
                <w:sz w:val="20"/>
              </w:rPr>
              <w:t>动态力学分析仪</w:t>
            </w:r>
          </w:p>
        </w:tc>
        <w:tc>
          <w:tcPr>
            <w:tcW w:w="87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最高限价（万元）</w:t>
            </w:r>
          </w:p>
        </w:tc>
        <w:tc>
          <w:tcPr>
            <w:tcW w:w="22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黑体" w:hAnsi="宋体" w:eastAsia="黑体" w:cs="黑体"/>
                <w:sz w:val="20"/>
              </w:rPr>
              <w:t>31.5</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序号</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需求名称</w:t>
            </w:r>
          </w:p>
        </w:tc>
        <w:tc>
          <w:tcPr>
            <w:tcW w:w="91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参数</w:t>
            </w:r>
          </w:p>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性质</w:t>
            </w:r>
          </w:p>
        </w:tc>
        <w:tc>
          <w:tcPr>
            <w:tcW w:w="3969"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需求具体内容</w:t>
            </w:r>
          </w:p>
        </w:tc>
        <w:tc>
          <w:tcPr>
            <w:tcW w:w="850" w:type="dxa"/>
            <w:tcBorders>
              <w:top w:val="single" w:color="000000" w:sz="4" w:space="0"/>
              <w:left w:val="single" w:color="000000" w:sz="4" w:space="0"/>
              <w:bottom w:val="nil"/>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是否</w:t>
            </w:r>
            <w:r>
              <w:rPr>
                <w:rFonts w:hint="eastAsia" w:ascii="黑体" w:hAnsi="宋体" w:eastAsia="黑体" w:cs="黑体"/>
                <w:kern w:val="0"/>
                <w:sz w:val="20"/>
                <w:lang w:bidi="ar"/>
              </w:rPr>
              <w:br w:type="textWrapping"/>
            </w:r>
            <w:r>
              <w:rPr>
                <w:rFonts w:hint="eastAsia" w:ascii="黑体" w:hAnsi="宋体" w:eastAsia="黑体" w:cs="黑体"/>
                <w:kern w:val="0"/>
                <w:sz w:val="20"/>
                <w:lang w:bidi="ar"/>
              </w:rPr>
              <w:t>量化</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备注（证明材料等其他要求）</w:t>
            </w:r>
          </w:p>
        </w:tc>
      </w:tr>
      <w:tr>
        <w:tblPrEx>
          <w:tblLayout w:type="fixed"/>
          <w:tblCellMar>
            <w:top w:w="0" w:type="dxa"/>
            <w:left w:w="108" w:type="dxa"/>
            <w:bottom w:w="0" w:type="dxa"/>
            <w:right w:w="108" w:type="dxa"/>
          </w:tblCellMar>
        </w:tblPrEx>
        <w:trPr>
          <w:trHeight w:val="325" w:hRule="atLeast"/>
        </w:trPr>
        <w:tc>
          <w:tcPr>
            <w:tcW w:w="9060"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技术要求</w:t>
            </w:r>
          </w:p>
        </w:tc>
      </w:tr>
      <w:tr>
        <w:tblPrEx>
          <w:tblLayout w:type="fixed"/>
          <w:tblCellMar>
            <w:top w:w="0" w:type="dxa"/>
            <w:left w:w="108" w:type="dxa"/>
            <w:bottom w:w="0" w:type="dxa"/>
            <w:right w:w="108" w:type="dxa"/>
          </w:tblCellMar>
        </w:tblPrEx>
        <w:trPr>
          <w:trHeight w:val="90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bookmarkStart w:id="0" w:name="_Hlk225356470"/>
            <w:r>
              <w:rPr>
                <w:rFonts w:hint="eastAsia" w:ascii="黑体" w:hAnsi="黑体" w:eastAsia="黑体" w:cs="黑体"/>
                <w:kern w:val="0"/>
                <w:sz w:val="20"/>
                <w:lang w:bidi="ar"/>
              </w:rPr>
              <w:t>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基本要求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i/>
                <w:iCs/>
                <w:sz w:val="20"/>
              </w:rPr>
            </w:pPr>
            <w:r>
              <w:rPr>
                <w:rFonts w:hint="eastAsia" w:ascii="黑体" w:hAnsi="黑体" w:eastAsia="黑体" w:cs="黑体"/>
                <w:kern w:val="0"/>
                <w:sz w:val="20"/>
                <w:lang w:bidi="ar"/>
              </w:rPr>
              <w:t>以电磁力作为作动核心的双弹簧碟片结构试验系统，使用无摩擦导向结构，无需气动或液压驱动，适用于金属、高分子和生物材料的拉伸、压缩、拉扭、压扭、弯曲、剪切等加载测试。</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bookmarkStart w:id="1" w:name="OLE_LINK3"/>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bookmarkEnd w:id="1"/>
          </w:p>
        </w:tc>
      </w:tr>
      <w:bookmarkEnd w:id="0"/>
      <w:tr>
        <w:tblPrEx>
          <w:tblLayout w:type="fixed"/>
          <w:tblCellMar>
            <w:top w:w="0" w:type="dxa"/>
            <w:left w:w="108" w:type="dxa"/>
            <w:bottom w:w="0" w:type="dxa"/>
            <w:right w:w="108" w:type="dxa"/>
          </w:tblCellMar>
        </w:tblPrEx>
        <w:trPr>
          <w:trHeight w:val="90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标准规范</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pStyle w:val="2"/>
              <w:widowControl/>
              <w:shd w:val="clear" w:color="auto" w:fill="FFFFFF"/>
              <w:spacing w:beforeAutospacing="0" w:after="48" w:afterAutospacing="0" w:line="264" w:lineRule="atLeast"/>
              <w:rPr>
                <w:rFonts w:ascii="黑体" w:eastAsia="黑体" w:cs="黑体"/>
                <w:i/>
                <w:iCs/>
                <w:sz w:val="20"/>
                <w:szCs w:val="20"/>
              </w:rPr>
            </w:pPr>
            <w:r>
              <w:rPr>
                <w:rFonts w:ascii="黑体" w:hAnsi="黑体" w:eastAsia="黑体" w:cs="黑体"/>
                <w:b w:val="0"/>
                <w:bCs w:val="0"/>
                <w:sz w:val="20"/>
                <w:szCs w:val="20"/>
                <w:lang w:bidi="ar"/>
              </w:rPr>
              <w:t>满足</w:t>
            </w:r>
            <w:r>
              <w:rPr>
                <w:rFonts w:hint="default" w:ascii="黑体" w:hAnsi="黑体" w:eastAsia="黑体" w:cs="黑体"/>
                <w:b w:val="0"/>
                <w:bCs w:val="0"/>
                <w:sz w:val="20"/>
                <w:szCs w:val="20"/>
                <w:lang w:bidi="ar"/>
              </w:rPr>
              <w:t>GB/T 2611-20</w:t>
            </w:r>
            <w:r>
              <w:rPr>
                <w:rFonts w:ascii="黑体" w:hAnsi="黑体" w:eastAsia="黑体" w:cs="黑体"/>
                <w:b w:val="0"/>
                <w:bCs w:val="0"/>
                <w:sz w:val="20"/>
                <w:szCs w:val="20"/>
                <w:lang w:bidi="ar"/>
              </w:rPr>
              <w:t>22</w:t>
            </w:r>
            <w:r>
              <w:rPr>
                <w:rFonts w:hint="default" w:ascii="黑体" w:hAnsi="黑体" w:eastAsia="黑体" w:cs="黑体"/>
                <w:b w:val="0"/>
                <w:bCs w:val="0"/>
                <w:sz w:val="20"/>
                <w:szCs w:val="20"/>
                <w:lang w:bidi="ar"/>
              </w:rPr>
              <w:t>试验机 通用技术要求</w:t>
            </w:r>
            <w:r>
              <w:rPr>
                <w:rFonts w:ascii="黑体" w:hAnsi="黑体" w:eastAsia="黑体" w:cs="黑体"/>
                <w:b w:val="0"/>
                <w:bCs w:val="0"/>
                <w:sz w:val="20"/>
                <w:szCs w:val="20"/>
                <w:lang w:bidi="ar"/>
              </w:rPr>
              <w:t>。</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90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技术指标1</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宋体" w:hAnsi="宋体" w:cs="宋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最大动载频率≥15Hz。</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90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4</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技术指标2</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最大试验力：载荷峰值：≥5000N，试验力测量范围2%-100%FS，试验力示值精度±1%以内</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90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5</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技术指标3</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垂直试验空间≥800mm</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iCs/>
                <w:color w:val="444444" w:themeColor="text1"/>
                <w:kern w:val="0"/>
                <w:sz w:val="20"/>
                <w:lang w:bidi="ar"/>
                <w14:textFill>
                  <w14:solidFill>
                    <w14:schemeClr w14:val="tx1"/>
                  </w14:solidFill>
                </w14:textFill>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416"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6</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技术指标4</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试验频率范围0.5-15Hz</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iCs/>
                <w:color w:val="444444" w:themeColor="text1"/>
                <w:kern w:val="0"/>
                <w:sz w:val="20"/>
                <w:lang w:bidi="ar"/>
                <w14:textFill>
                  <w14:solidFill>
                    <w14:schemeClr w14:val="tx1"/>
                  </w14:solidFill>
                </w14:textFill>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90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7</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技术指标5</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宋体" w:hAnsi="宋体" w:cs="宋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软件具备快速测试功能：通过一个五步的测试向导协助用户设置测试方法。用户只需几次点击以及更少的参数输入，即可完成完整的方法设置。</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90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8</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技术指标6</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位移测量范围：0-100</w:t>
            </w:r>
            <w:r>
              <w:rPr>
                <w:rFonts w:ascii="黑体" w:hAnsi="黑体" w:eastAsia="黑体" w:cs="黑体"/>
                <w:kern w:val="0"/>
                <w:sz w:val="20"/>
                <w:lang w:bidi="ar"/>
              </w:rPr>
              <w:t>(</w:t>
            </w:r>
            <w:r>
              <w:rPr>
                <w:rFonts w:hint="eastAsia" w:ascii="黑体" w:hAnsi="黑体" w:eastAsia="黑体" w:cs="黑体"/>
                <w:kern w:val="0"/>
                <w:sz w:val="20"/>
                <w:lang w:bidi="ar"/>
              </w:rPr>
              <w:t>±</w:t>
            </w:r>
            <w:r>
              <w:rPr>
                <w:rFonts w:ascii="黑体" w:hAnsi="黑体" w:eastAsia="黑体" w:cs="黑体"/>
                <w:kern w:val="0"/>
                <w:sz w:val="20"/>
                <w:lang w:bidi="ar"/>
              </w:rPr>
              <w:t>50) m</w:t>
            </w:r>
            <w:r>
              <w:rPr>
                <w:rFonts w:hint="eastAsia" w:ascii="黑体" w:hAnsi="黑体" w:eastAsia="黑体" w:cs="黑体"/>
                <w:kern w:val="0"/>
                <w:sz w:val="20"/>
                <w:lang w:bidi="ar"/>
              </w:rPr>
              <w:t xml:space="preserve">m </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90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9</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技术指标7</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位移测量分辨尺度≤0.1μm。</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iCs/>
                <w:color w:val="444444" w:themeColor="text1"/>
                <w:kern w:val="0"/>
                <w:sz w:val="20"/>
                <w:lang w:bidi="ar"/>
                <w14:textFill>
                  <w14:solidFill>
                    <w14:schemeClr w14:val="tx1"/>
                  </w14:solidFill>
                </w14:textFill>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90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10</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技术指标8</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具有32位函数发生器，支持正弦波，三角波，梯形波、块波等控制波形，具有疲劳试验峰值的间隔调整（变幅）功能。</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90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技术指标9</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宋体" w:hAnsi="宋体" w:cs="宋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软件有简体中文版本，同时可德文、英文、法文、日文、韩文多种语言任意切换。开放式软件，用户可自定义编辑测试方法。</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90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技术指标10</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作动电机附加温度监控和温度过热保护系统。</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90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技术指标11</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黑体" w:hAnsi="宋体" w:eastAsia="黑体" w:cs="黑体"/>
                <w:sz w:val="20"/>
              </w:rPr>
              <w:t>设备具有作动器定位保护功能，在突然断电的情况下防止作动缸运动而损伤试样和工装夹具</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iCs/>
                <w:color w:val="444444" w:themeColor="text1"/>
                <w:kern w:val="0"/>
                <w:sz w:val="20"/>
                <w:lang w:bidi="ar"/>
                <w14:textFill>
                  <w14:solidFill>
                    <w14:schemeClr w14:val="tx1"/>
                  </w14:solidFill>
                </w14:textFill>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68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14</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技术指标12</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宋体" w:hAnsi="宋体" w:cs="宋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可扩展侧向加载模块，实现多轴加载功能</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68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15</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技术指标13</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宋体" w:hAnsi="宋体" w:cs="宋体"/>
                <w:kern w:val="0"/>
                <w:sz w:val="20"/>
                <w:lang w:bidi="ar"/>
              </w:rPr>
            </w:pP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具有压缩、拉伸、剪切、扭转、穿刺等各种力学测试功能</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iCs/>
                <w:color w:val="444444" w:themeColor="text1"/>
                <w:kern w:val="0"/>
                <w:sz w:val="20"/>
                <w:lang w:bidi="ar"/>
                <w14:textFill>
                  <w14:solidFill>
                    <w14:schemeClr w14:val="tx1"/>
                  </w14:solidFill>
                </w14:textFill>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68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16</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技术指标14</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宋体" w:hAnsi="宋体" w:cs="宋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主机外形尺寸不大于800×5</w:t>
            </w:r>
            <w:r>
              <w:rPr>
                <w:rFonts w:ascii="黑体" w:hAnsi="黑体" w:eastAsia="黑体" w:cs="黑体"/>
                <w:kern w:val="0"/>
                <w:sz w:val="20"/>
                <w:lang w:bidi="ar"/>
              </w:rPr>
              <w:t>00</w:t>
            </w:r>
            <w:r>
              <w:rPr>
                <w:rFonts w:hint="eastAsia" w:ascii="黑体" w:hAnsi="黑体" w:eastAsia="黑体" w:cs="黑体"/>
                <w:kern w:val="0"/>
                <w:sz w:val="20"/>
                <w:lang w:bidi="ar"/>
              </w:rPr>
              <w:t>×</w:t>
            </w:r>
            <w:r>
              <w:rPr>
                <w:rFonts w:ascii="黑体" w:hAnsi="黑体" w:eastAsia="黑体" w:cs="黑体"/>
                <w:kern w:val="0"/>
                <w:sz w:val="20"/>
                <w:lang w:bidi="ar"/>
              </w:rPr>
              <w:t>1500mm</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iCs/>
                <w:color w:val="444444" w:themeColor="text1"/>
                <w:kern w:val="0"/>
                <w:sz w:val="20"/>
                <w:lang w:bidi="ar"/>
                <w14:textFill>
                  <w14:solidFill>
                    <w14:schemeClr w14:val="tx1"/>
                  </w14:solidFill>
                </w14:textFill>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68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17</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技术指标15</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kern w:val="0"/>
                <w:sz w:val="20"/>
                <w:lang w:bidi="ar"/>
              </w:rPr>
            </w:pPr>
            <w:r>
              <w:rPr>
                <w:rFonts w:hint="eastAsia" w:ascii="宋体" w:hAnsi="宋体" w:cs="宋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主机重量不大于350kg</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iCs/>
                <w:color w:val="444444" w:themeColor="text1"/>
                <w:kern w:val="0"/>
                <w:sz w:val="20"/>
                <w:lang w:bidi="ar"/>
                <w14:textFill>
                  <w14:solidFill>
                    <w14:schemeClr w14:val="tx1"/>
                  </w14:solidFill>
                </w14:textFill>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68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18</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配置要求1</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动态力学测试主机、控制驱动系统、测试软件、备品备件以及工控机各一套。</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68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宋体" w:eastAsia="黑体" w:cs="黑体"/>
                <w:kern w:val="0"/>
                <w:sz w:val="20"/>
                <w:lang w:bidi="ar"/>
              </w:rPr>
              <w:t>19</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配置要求2</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测试工装：最低配置数量不少于4套，金属拉伸夹具、压缩/弯曲夹具、三点/四点弯曲夹具、细丝/线材疲劳专用夹具等。</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68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20</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验收标准方法</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按照投标文件、采购合同、质量标准等，组织对设备进行质量验收，出具验收报告。验收过程中对于核心参数存疑需检测的，可委托地方具有相应检测能力的机构提供技术支持。</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201" w:hRule="atLeast"/>
        </w:trPr>
        <w:tc>
          <w:tcPr>
            <w:tcW w:w="9060"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经济要求</w:t>
            </w:r>
          </w:p>
        </w:tc>
      </w:tr>
      <w:tr>
        <w:tblPrEx>
          <w:tblLayout w:type="fixed"/>
          <w:tblCellMar>
            <w:top w:w="0" w:type="dxa"/>
            <w:left w:w="108" w:type="dxa"/>
            <w:bottom w:w="0" w:type="dxa"/>
            <w:right w:w="108" w:type="dxa"/>
          </w:tblCellMar>
        </w:tblPrEx>
        <w:trPr>
          <w:trHeight w:val="73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交货时间、交货地点</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合同签订后2个月内交付，交付地点由甲方指定。</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73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lang w:bidi="ar"/>
              </w:rPr>
            </w:pPr>
            <w:r>
              <w:rPr>
                <w:rFonts w:hint="eastAsia" w:ascii="黑体" w:hAnsi="黑体" w:eastAsia="黑体" w:cs="黑体"/>
                <w:sz w:val="20"/>
                <w:lang w:bidi="ar"/>
              </w:rPr>
              <w:t>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付款及结算方式</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签订合同物资到货验收后付95%。</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73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履约保证金/质量保证金</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验收合格后满1年无质量问题支付剩余5%</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73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4</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产品包装和运输要求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按照国家、行业相关标准规范，产品确保包装完好，运输确保不对产品造成损伤。</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73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5</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售后服务1</w:t>
            </w:r>
          </w:p>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（质保）</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保修年限不低于3年，全年故障停机时间不高于5%（按365日/年计算)。</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73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6</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售后服务2</w:t>
            </w:r>
          </w:p>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（质保）</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保修期内免费提供定期维护保养服务，免费升级和维护软件，免费提供使用培训。</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73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7</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售后服务3</w:t>
            </w:r>
          </w:p>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（质保）</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提供不少于5人次、7天的工程师维修培训。</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73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8</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售后服务4</w:t>
            </w:r>
            <w:r>
              <w:rPr>
                <w:rFonts w:hint="eastAsia" w:ascii="黑体" w:hAnsi="黑体" w:eastAsia="黑体" w:cs="黑体"/>
                <w:kern w:val="0"/>
                <w:sz w:val="20"/>
                <w:lang w:bidi="ar"/>
              </w:rPr>
              <w:br w:type="textWrapping"/>
            </w:r>
            <w:r>
              <w:rPr>
                <w:rFonts w:hint="eastAsia" w:ascii="黑体" w:hAnsi="黑体" w:eastAsia="黑体" w:cs="黑体"/>
                <w:kern w:val="0"/>
                <w:sz w:val="20"/>
                <w:lang w:bidi="ar"/>
              </w:rPr>
              <w:t>（响应时间）</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维修响应时间≤4小时，维修到达现场时间≤4小时。</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73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9</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备品备件要求（零配件）</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由供应商承诺项目使用寿命周期内保证零配件供应。</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73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10</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专用工具</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描述应提供的配套专修工具和使用工具。</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73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11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保密要求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无。</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p>
        </w:tc>
      </w:tr>
      <w:tr>
        <w:tblPrEx>
          <w:tblLayout w:type="fixed"/>
          <w:tblCellMar>
            <w:top w:w="0" w:type="dxa"/>
            <w:left w:w="108" w:type="dxa"/>
            <w:bottom w:w="0" w:type="dxa"/>
            <w:right w:w="108" w:type="dxa"/>
          </w:tblCellMar>
        </w:tblPrEx>
        <w:trPr>
          <w:trHeight w:val="737"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12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知识产权</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报价供应商应当保证采购单位在使用该物资或其任何一部分时，不受第三方侵权指控。同时，报价供应商不得向第三方泄露采购机构提供的技术文件等材料。基于项目合同履行形成的知识产权和其他权益，其权属归采购单位所有，法律另有规定的除外。</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2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物资编目编码、打码贴签要求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16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本项目对物资的编目编码、打码贴签要求，报价供应商应当予</w:t>
            </w:r>
            <w:bookmarkStart w:id="2" w:name="_GoBack"/>
            <w:bookmarkEnd w:id="2"/>
            <w:r>
              <w:rPr>
                <w:rFonts w:hint="eastAsia" w:ascii="黑体" w:hAnsi="宋体" w:eastAsia="黑体" w:cs="黑体"/>
                <w:kern w:val="0"/>
                <w:sz w:val="20"/>
                <w:lang w:bidi="ar"/>
              </w:rPr>
              <w:t>以明确响应，相关费用包含在报价中。</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sz w:val="20"/>
              </w:rPr>
              <w:t>否</w:t>
            </w:r>
          </w:p>
        </w:tc>
        <w:tc>
          <w:tcPr>
            <w:tcW w:w="14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企业承诺</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Segoe UI Symbol">
    <w:panose1 w:val="020B0502040204020203"/>
    <w:charset w:val="00"/>
    <w:family w:val="swiss"/>
    <w:pitch w:val="default"/>
    <w:sig w:usb0="8000006F" w:usb1="1200FBEF" w:usb2="0064C000" w:usb3="00000002" w:csb0="00000001" w:csb1="4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068"/>
    <w:rsid w:val="000219EA"/>
    <w:rsid w:val="000561B3"/>
    <w:rsid w:val="000853D1"/>
    <w:rsid w:val="001004CD"/>
    <w:rsid w:val="00102284"/>
    <w:rsid w:val="00144E9B"/>
    <w:rsid w:val="00183B78"/>
    <w:rsid w:val="002218AF"/>
    <w:rsid w:val="00282227"/>
    <w:rsid w:val="002A58CB"/>
    <w:rsid w:val="002B52BA"/>
    <w:rsid w:val="00342272"/>
    <w:rsid w:val="003F69CE"/>
    <w:rsid w:val="00474F98"/>
    <w:rsid w:val="00577887"/>
    <w:rsid w:val="007320D0"/>
    <w:rsid w:val="00754465"/>
    <w:rsid w:val="007E6302"/>
    <w:rsid w:val="008149C0"/>
    <w:rsid w:val="008301F3"/>
    <w:rsid w:val="008C4B91"/>
    <w:rsid w:val="008D18B5"/>
    <w:rsid w:val="008F1A31"/>
    <w:rsid w:val="0091781E"/>
    <w:rsid w:val="00920E3A"/>
    <w:rsid w:val="009412C3"/>
    <w:rsid w:val="00956A8E"/>
    <w:rsid w:val="009B0CEF"/>
    <w:rsid w:val="009D4068"/>
    <w:rsid w:val="009E49B1"/>
    <w:rsid w:val="00A6152C"/>
    <w:rsid w:val="00AE15C5"/>
    <w:rsid w:val="00B06DDF"/>
    <w:rsid w:val="00B70219"/>
    <w:rsid w:val="00B91768"/>
    <w:rsid w:val="00C309E3"/>
    <w:rsid w:val="00C378AB"/>
    <w:rsid w:val="00D174EA"/>
    <w:rsid w:val="00D76E3A"/>
    <w:rsid w:val="00DF6950"/>
    <w:rsid w:val="00E73513"/>
    <w:rsid w:val="00EE2153"/>
    <w:rsid w:val="050339CA"/>
    <w:rsid w:val="08A65D3D"/>
    <w:rsid w:val="12C538A2"/>
    <w:rsid w:val="187F2C18"/>
    <w:rsid w:val="22DB3390"/>
    <w:rsid w:val="29347DC8"/>
    <w:rsid w:val="2A3F778E"/>
    <w:rsid w:val="2BA13A63"/>
    <w:rsid w:val="2E7A7B78"/>
    <w:rsid w:val="442669F3"/>
    <w:rsid w:val="500F1FD3"/>
    <w:rsid w:val="536F34BF"/>
    <w:rsid w:val="5F2D40CD"/>
    <w:rsid w:val="686F6AD4"/>
    <w:rsid w:val="706D0541"/>
    <w:rsid w:val="71184E25"/>
    <w:rsid w:val="782A5B6A"/>
    <w:rsid w:val="7915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Body Text Indent"/>
    <w:basedOn w:val="1"/>
    <w:qFormat/>
    <w:uiPriority w:val="0"/>
    <w:pPr>
      <w:spacing w:line="400" w:lineRule="exact"/>
      <w:ind w:firstLine="600" w:firstLineChars="200"/>
    </w:pPr>
    <w:rPr>
      <w:rFonts w:ascii="仿宋_GB2312" w:eastAsia="仿宋_GB2312"/>
      <w:sz w:val="3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tabs>
        <w:tab w:val="center" w:pos="4153"/>
        <w:tab w:val="right" w:pos="8306"/>
      </w:tabs>
      <w:snapToGrid w:val="0"/>
      <w:jc w:val="center"/>
    </w:pPr>
    <w:rPr>
      <w:sz w:val="18"/>
      <w:szCs w:val="18"/>
    </w:rPr>
  </w:style>
  <w:style w:type="character" w:styleId="8">
    <w:name w:val="Hyperlink"/>
    <w:basedOn w:val="7"/>
    <w:qFormat/>
    <w:uiPriority w:val="0"/>
    <w:rPr>
      <w:color w:val="0000FF"/>
      <w:u w:val="single"/>
    </w:rPr>
  </w:style>
  <w:style w:type="paragraph" w:customStyle="1" w:styleId="9">
    <w:name w:val="Default"/>
    <w:unhideWhenUsed/>
    <w:qFormat/>
    <w:uiPriority w:val="0"/>
    <w:pPr>
      <w:widowControl w:val="0"/>
      <w:autoSpaceDE w:val="0"/>
      <w:autoSpaceDN w:val="0"/>
    </w:pPr>
    <w:rPr>
      <w:rFonts w:hint="eastAsia" w:ascii="黑体" w:hAnsi="黑体" w:eastAsia="黑体" w:cs="Times New Roman"/>
      <w:color w:val="000000"/>
      <w:sz w:val="24"/>
      <w:szCs w:val="22"/>
      <w:lang w:val="en-US" w:eastAsia="zh-CN" w:bidi="ar-SA"/>
    </w:rPr>
  </w:style>
  <w:style w:type="character" w:customStyle="1" w:styleId="10">
    <w:name w:val="font111"/>
    <w:basedOn w:val="7"/>
    <w:qFormat/>
    <w:uiPriority w:val="0"/>
    <w:rPr>
      <w:rFonts w:hint="eastAsia" w:ascii="黑体" w:hAnsi="宋体" w:eastAsia="黑体" w:cs="黑体"/>
      <w:i/>
      <w:iCs/>
      <w:color w:val="000000"/>
      <w:sz w:val="20"/>
      <w:szCs w:val="20"/>
      <w:u w:val="none"/>
    </w:rPr>
  </w:style>
  <w:style w:type="character" w:customStyle="1" w:styleId="11">
    <w:name w:val="页眉 字符"/>
    <w:basedOn w:val="7"/>
    <w:link w:val="5"/>
    <w:qFormat/>
    <w:uiPriority w:val="0"/>
    <w:rPr>
      <w:kern w:val="2"/>
      <w:sz w:val="18"/>
      <w:szCs w:val="18"/>
    </w:rPr>
  </w:style>
  <w:style w:type="paragraph" w:customStyle="1" w:styleId="12">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444444"/>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1522</Words>
  <Characters>1583</Characters>
  <Lines>263</Lines>
  <Paragraphs>258</Paragraphs>
  <TotalTime>3</TotalTime>
  <ScaleCrop>false</ScaleCrop>
  <LinksUpToDate>false</LinksUpToDate>
  <CharactersWithSpaces>2847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2026-03-25T23:39:00Z</dcterms:created>
  <dc:creator>DOCTOR</dc:creator>
  <cp:lastModifiedBy>cy</cp:lastModifiedBy>
  <dcterms:modified xsi:type="dcterms:W3CDTF">2026-04-10T01:06:26Z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eyJoZGlkIjoiNTVmYjAxNDczYWIyOTQ4MTcwYjAwYzUxMzFjMDVhMzciLCJ1c2VySWQiOiIzNDk1ODEzMzIifQ==</vt:lpwstr>
  </property>
  <property fmtid="{D5CDD505-2E9C-101B-9397-08002B2CF9AE}" pid="4" name="ICV">
    <vt:lpwstr>0E7A72E32F4D4EABBB8EA3A1C5D8D19F_13</vt:lpwstr>
  </property>
</Properties>
</file>