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before="156" w:beforeLines="50" w:after="156" w:afterLines="50" w:line="572" w:lineRule="exact"/>
        <w:jc w:val="center"/>
        <w:rPr>
          <w:rFonts w:hint="eastAsia" w:ascii="方正小标宋简体" w:hAnsi="方正小标宋简体" w:eastAsia="方正小标宋简体" w:cs="方正小标宋简体"/>
          <w:kern w:val="0"/>
          <w:sz w:val="44"/>
          <w:szCs w:val="44"/>
        </w:rPr>
      </w:pPr>
    </w:p>
    <w:p>
      <w:pPr>
        <w:overflowPunct w:val="0"/>
        <w:spacing w:before="156" w:beforeLines="50" w:after="156" w:afterLines="50" w:line="572" w:lineRule="exact"/>
        <w:jc w:val="center"/>
        <w:outlineLvl w:val="0"/>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采购需求表（物资类）</w:t>
      </w:r>
    </w:p>
    <w:tbl>
      <w:tblPr>
        <w:tblStyle w:val="6"/>
        <w:tblpPr w:leftFromText="180" w:rightFromText="180" w:vertAnchor="text" w:horzAnchor="page" w:tblpX="1562" w:tblpY="807"/>
        <w:tblOverlap w:val="never"/>
        <w:tblW w:w="8522" w:type="dxa"/>
        <w:tblInd w:w="0" w:type="dxa"/>
        <w:tblLayout w:type="fixed"/>
        <w:tblCellMar>
          <w:top w:w="0" w:type="dxa"/>
          <w:left w:w="108" w:type="dxa"/>
          <w:bottom w:w="0" w:type="dxa"/>
          <w:right w:w="108" w:type="dxa"/>
        </w:tblCellMar>
      </w:tblPr>
      <w:tblGrid>
        <w:gridCol w:w="470"/>
        <w:gridCol w:w="631"/>
        <w:gridCol w:w="735"/>
        <w:gridCol w:w="801"/>
        <w:gridCol w:w="920"/>
        <w:gridCol w:w="1989"/>
        <w:gridCol w:w="1137"/>
        <w:gridCol w:w="683"/>
        <w:gridCol w:w="1156"/>
      </w:tblGrid>
      <w:tr>
        <w:tblPrEx>
          <w:tblLayout w:type="fixed"/>
          <w:tblCellMar>
            <w:top w:w="0" w:type="dxa"/>
            <w:left w:w="108" w:type="dxa"/>
            <w:bottom w:w="0" w:type="dxa"/>
            <w:right w:w="108" w:type="dxa"/>
          </w:tblCellMar>
        </w:tblPrEx>
        <w:trPr>
          <w:trHeight w:val="600" w:hRule="atLeast"/>
        </w:trPr>
        <w:tc>
          <w:tcPr>
            <w:tcW w:w="8522" w:type="dxa"/>
            <w:gridSpan w:val="9"/>
            <w:tcBorders>
              <w:top w:val="nil"/>
              <w:left w:val="nil"/>
              <w:bottom w:val="nil"/>
              <w:right w:val="nil"/>
            </w:tcBorders>
            <w:vAlign w:val="center"/>
          </w:tcPr>
          <w:p>
            <w:pPr>
              <w:widowControl/>
              <w:spacing w:line="360" w:lineRule="exact"/>
              <w:jc w:val="left"/>
              <w:textAlignment w:val="center"/>
              <w:rPr>
                <w:rFonts w:hint="eastAsia" w:ascii="宋体" w:hAnsi="宋体" w:cs="宋体"/>
              </w:rPr>
            </w:pPr>
          </w:p>
        </w:tc>
      </w:tr>
      <w:tr>
        <w:tblPrEx>
          <w:tblLayout w:type="fixed"/>
          <w:tblCellMar>
            <w:top w:w="0" w:type="dxa"/>
            <w:left w:w="108" w:type="dxa"/>
            <w:bottom w:w="0" w:type="dxa"/>
            <w:right w:w="108" w:type="dxa"/>
          </w:tblCellMar>
        </w:tblPrEx>
        <w:trPr>
          <w:trHeight w:val="500" w:hRule="atLeast"/>
        </w:trPr>
        <w:tc>
          <w:tcPr>
            <w:tcW w:w="110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lang w:eastAsia="zh-CN"/>
              </w:rPr>
            </w:pPr>
            <w:r>
              <w:rPr>
                <w:rFonts w:hint="eastAsia" w:ascii="黑体" w:hAnsi="宋体" w:eastAsia="黑体" w:cs="黑体"/>
                <w:kern w:val="0"/>
                <w:sz w:val="20"/>
                <w:lang w:val="en-US" w:eastAsia="zh-CN" w:bidi="ar"/>
              </w:rPr>
              <w:t>/</w:t>
            </w:r>
          </w:p>
        </w:tc>
        <w:tc>
          <w:tcPr>
            <w:tcW w:w="1536" w:type="dxa"/>
            <w:gridSpan w:val="2"/>
            <w:tcBorders>
              <w:top w:val="single" w:color="000000" w:sz="4" w:space="0"/>
              <w:left w:val="single" w:color="000000" w:sz="4" w:space="0"/>
              <w:bottom w:val="single" w:color="000000" w:sz="4" w:space="0"/>
              <w:right w:val="nil"/>
            </w:tcBorders>
            <w:vAlign w:val="center"/>
          </w:tcPr>
          <w:p>
            <w:pPr>
              <w:widowControl/>
              <w:spacing w:line="240" w:lineRule="exact"/>
              <w:jc w:val="center"/>
              <w:rPr>
                <w:rFonts w:hint="eastAsia" w:ascii="黑体" w:hAnsi="宋体" w:eastAsia="黑体" w:cs="黑体"/>
                <w:sz w:val="20"/>
                <w:lang w:eastAsia="zh-CN"/>
              </w:rPr>
            </w:pPr>
            <w:r>
              <w:rPr>
                <w:rFonts w:hint="eastAsia" w:ascii="黑体" w:hAnsi="宋体" w:eastAsia="黑体" w:cs="黑体"/>
                <w:sz w:val="20"/>
                <w:lang w:val="en-US" w:eastAsia="zh-CN"/>
              </w:rPr>
              <w:t>/</w:t>
            </w:r>
          </w:p>
        </w:tc>
        <w:tc>
          <w:tcPr>
            <w:tcW w:w="920" w:type="dxa"/>
            <w:tcBorders>
              <w:top w:val="single" w:color="000000" w:sz="4" w:space="0"/>
              <w:left w:val="single" w:color="000000" w:sz="4" w:space="0"/>
              <w:bottom w:val="nil"/>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项目名称</w:t>
            </w:r>
          </w:p>
        </w:tc>
        <w:tc>
          <w:tcPr>
            <w:tcW w:w="198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黑体" w:hAnsi="宋体" w:eastAsia="黑体" w:cs="黑体"/>
                <w:sz w:val="20"/>
              </w:rPr>
              <w:t>多尺度薄膜原位拉伸试验分析系统</w:t>
            </w:r>
          </w:p>
        </w:tc>
        <w:tc>
          <w:tcPr>
            <w:tcW w:w="113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最高限价（万元）</w:t>
            </w:r>
          </w:p>
        </w:tc>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黑体" w:hAnsi="宋体" w:eastAsia="黑体" w:cs="黑体"/>
                <w:sz w:val="20"/>
              </w:rPr>
              <w:t>30</w:t>
            </w:r>
          </w:p>
        </w:tc>
      </w:tr>
      <w:tr>
        <w:tblPrEx>
          <w:tblLayout w:type="fixed"/>
          <w:tblCellMar>
            <w:top w:w="0" w:type="dxa"/>
            <w:left w:w="108" w:type="dxa"/>
            <w:bottom w:w="0" w:type="dxa"/>
            <w:right w:w="108" w:type="dxa"/>
          </w:tblCellMar>
        </w:tblPrEx>
        <w:trPr>
          <w:trHeight w:val="50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序号</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需求名称</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参数</w:t>
            </w:r>
          </w:p>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性质</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需求具体内容</w:t>
            </w:r>
          </w:p>
        </w:tc>
        <w:tc>
          <w:tcPr>
            <w:tcW w:w="683" w:type="dxa"/>
            <w:tcBorders>
              <w:top w:val="single" w:color="000000" w:sz="4" w:space="0"/>
              <w:left w:val="single" w:color="000000" w:sz="4" w:space="0"/>
              <w:bottom w:val="nil"/>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是否</w:t>
            </w:r>
            <w:r>
              <w:rPr>
                <w:rFonts w:hint="eastAsia" w:ascii="黑体" w:hAnsi="宋体" w:eastAsia="黑体" w:cs="黑体"/>
                <w:kern w:val="0"/>
                <w:sz w:val="20"/>
                <w:lang w:bidi="ar"/>
              </w:rPr>
              <w:br w:type="textWrapping"/>
            </w:r>
            <w:r>
              <w:rPr>
                <w:rFonts w:hint="eastAsia" w:ascii="黑体" w:hAnsi="宋体" w:eastAsia="黑体" w:cs="黑体"/>
                <w:kern w:val="0"/>
                <w:sz w:val="20"/>
                <w:lang w:bidi="ar"/>
              </w:rPr>
              <w:t>量化</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备注（证明材料等其他要求）</w:t>
            </w:r>
          </w:p>
        </w:tc>
      </w:tr>
      <w:tr>
        <w:tblPrEx>
          <w:tblLayout w:type="fixed"/>
          <w:tblCellMar>
            <w:top w:w="0" w:type="dxa"/>
            <w:left w:w="108" w:type="dxa"/>
            <w:bottom w:w="0" w:type="dxa"/>
            <w:right w:w="108" w:type="dxa"/>
          </w:tblCellMar>
        </w:tblPrEx>
        <w:trPr>
          <w:trHeight w:val="500" w:hRule="atLeast"/>
        </w:trPr>
        <w:tc>
          <w:tcPr>
            <w:tcW w:w="8522"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技术要求</w:t>
            </w:r>
          </w:p>
        </w:tc>
      </w:tr>
      <w:tr>
        <w:tblPrEx>
          <w:tblLayout w:type="fixed"/>
          <w:tblCellMar>
            <w:top w:w="0" w:type="dxa"/>
            <w:left w:w="108" w:type="dxa"/>
            <w:bottom w:w="0" w:type="dxa"/>
            <w:right w:w="108" w:type="dxa"/>
          </w:tblCellMar>
        </w:tblPrEx>
        <w:trPr>
          <w:trHeight w:val="68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1</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基本要求</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可实现生物软组织力学行为研究，支持静态试验、疲劳试验、蠕变松弛试验以及自定义等试验模式。</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bookmarkStart w:id="0" w:name="OLE_LINK3"/>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bookmarkEnd w:id="0"/>
          </w:p>
        </w:tc>
      </w:tr>
      <w:tr>
        <w:tblPrEx>
          <w:tblLayout w:type="fixed"/>
          <w:tblCellMar>
            <w:top w:w="0" w:type="dxa"/>
            <w:left w:w="108" w:type="dxa"/>
            <w:bottom w:w="0" w:type="dxa"/>
            <w:right w:w="108" w:type="dxa"/>
          </w:tblCellMar>
        </w:tblPrEx>
        <w:trPr>
          <w:trHeight w:val="643"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2</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标准规范</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pStyle w:val="2"/>
              <w:widowControl/>
              <w:shd w:val="clear" w:color="auto" w:fill="FFFFFF"/>
              <w:spacing w:beforeAutospacing="0" w:after="48" w:afterAutospacing="0" w:line="264" w:lineRule="atLeast"/>
              <w:rPr>
                <w:rFonts w:ascii="黑体" w:hAnsi="黑体" w:eastAsia="黑体" w:cs="黑体"/>
                <w:b w:val="0"/>
                <w:bCs w:val="0"/>
                <w:sz w:val="20"/>
                <w:szCs w:val="20"/>
              </w:rPr>
            </w:pPr>
            <w:r>
              <w:rPr>
                <w:rFonts w:ascii="黑体" w:hAnsi="黑体" w:eastAsia="黑体" w:cs="黑体"/>
                <w:b w:val="0"/>
                <w:bCs w:val="0"/>
                <w:sz w:val="20"/>
                <w:szCs w:val="20"/>
                <w:lang w:bidi="ar"/>
              </w:rPr>
              <w:t>满足</w:t>
            </w:r>
            <w:r>
              <w:rPr>
                <w:rFonts w:hint="default" w:ascii="黑体" w:hAnsi="黑体" w:eastAsia="黑体" w:cs="黑体"/>
                <w:b w:val="0"/>
                <w:bCs w:val="0"/>
                <w:sz w:val="20"/>
                <w:szCs w:val="20"/>
                <w:lang w:bidi="ar"/>
              </w:rPr>
              <w:fldChar w:fldCharType="begin"/>
            </w:r>
            <w:r>
              <w:rPr>
                <w:rFonts w:hint="default" w:ascii="黑体" w:hAnsi="黑体" w:eastAsia="黑体" w:cs="黑体"/>
                <w:b w:val="0"/>
                <w:bCs w:val="0"/>
                <w:sz w:val="20"/>
                <w:szCs w:val="20"/>
                <w:lang w:bidi="ar"/>
              </w:rPr>
              <w:instrText xml:space="preserve"> HYPERLINK "https://www.so.com/link?m=elPs1Mto1yCBOtuMkfoM+YW3VgVyN8d/hWvesrvWPCyZGXy0p7SH5Awf3gyRpEPkqlgJNkUg44aU0zOb8+zCIG/BnGBgGF7I0p+K74kZFSDiuCsk9fEvLOSVJ1QgUo/x1utWR14j1IU1YIlFRhhVIhEgLV73Jloi6IL5hrY2uBMiytEuJQv6sOv5Sm2GRsm+1JYlTOPZsWlCFToEIUzEG+sajzNEmoq5idiIGsk1u7tcUMRhc9xPXnNKzxVgC5uEBjbSEsMSaxjb3bBtigNzza8u+nIL6j4okLDAmnRaIqjE=" \t "https://www.so.com/_blank" </w:instrText>
            </w:r>
            <w:r>
              <w:rPr>
                <w:rFonts w:hint="default" w:ascii="黑体" w:hAnsi="黑体" w:eastAsia="黑体" w:cs="黑体"/>
                <w:b w:val="0"/>
                <w:bCs w:val="0"/>
                <w:sz w:val="20"/>
                <w:szCs w:val="20"/>
                <w:lang w:bidi="ar"/>
              </w:rPr>
              <w:fldChar w:fldCharType="separate"/>
            </w:r>
            <w:r>
              <w:rPr>
                <w:rFonts w:hint="default" w:ascii="黑体" w:hAnsi="黑体" w:eastAsia="黑体" w:cs="黑体"/>
                <w:b w:val="0"/>
                <w:bCs w:val="0"/>
                <w:sz w:val="20"/>
                <w:szCs w:val="20"/>
                <w:lang w:bidi="ar"/>
              </w:rPr>
              <w:t>GB/T 2611-20</w:t>
            </w:r>
            <w:r>
              <w:rPr>
                <w:rFonts w:ascii="黑体" w:hAnsi="黑体" w:eastAsia="黑体" w:cs="黑体"/>
                <w:b w:val="0"/>
                <w:bCs w:val="0"/>
                <w:sz w:val="20"/>
                <w:szCs w:val="20"/>
                <w:lang w:bidi="ar"/>
              </w:rPr>
              <w:t>22</w:t>
            </w:r>
            <w:r>
              <w:rPr>
                <w:rFonts w:hint="default" w:ascii="黑体" w:hAnsi="黑体" w:eastAsia="黑体" w:cs="黑体"/>
                <w:b w:val="0"/>
                <w:bCs w:val="0"/>
                <w:sz w:val="20"/>
                <w:szCs w:val="20"/>
                <w:lang w:bidi="ar"/>
              </w:rPr>
              <w:t>试验机</w:t>
            </w:r>
            <w:r>
              <w:rPr>
                <w:rFonts w:ascii="黑体" w:hAnsi="黑体" w:eastAsia="黑体" w:cs="黑体"/>
                <w:b w:val="0"/>
                <w:bCs w:val="0"/>
                <w:sz w:val="20"/>
                <w:szCs w:val="20"/>
                <w:lang w:bidi="ar"/>
              </w:rPr>
              <w:t xml:space="preserve"> </w:t>
            </w:r>
            <w:r>
              <w:rPr>
                <w:rFonts w:hint="default" w:ascii="黑体" w:hAnsi="黑体" w:eastAsia="黑体" w:cs="黑体"/>
                <w:b w:val="0"/>
                <w:bCs w:val="0"/>
                <w:sz w:val="20"/>
                <w:szCs w:val="20"/>
                <w:lang w:bidi="ar"/>
              </w:rPr>
              <w:t>通用技术要求</w:t>
            </w:r>
            <w:r>
              <w:rPr>
                <w:rFonts w:hint="default" w:ascii="黑体" w:hAnsi="黑体" w:eastAsia="黑体" w:cs="黑体"/>
                <w:b w:val="0"/>
                <w:bCs w:val="0"/>
                <w:sz w:val="20"/>
                <w:szCs w:val="20"/>
                <w:lang w:bidi="ar"/>
              </w:rPr>
              <w:fldChar w:fldCharType="end"/>
            </w:r>
            <w:r>
              <w:rPr>
                <w:rFonts w:ascii="黑体" w:hAnsi="黑体" w:eastAsia="黑体" w:cs="黑体"/>
                <w:b w:val="0"/>
                <w:bCs w:val="0"/>
                <w:sz w:val="20"/>
                <w:szCs w:val="20"/>
                <w:lang w:bidi="ar"/>
              </w:rPr>
              <w:t>。</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50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3</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技术指标1</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卧式原位双轴对称加载方式，能够确保加载试件的中心位置不变，试验过程中无明显机械回隙，具备单轴拉伸压缩、弯曲、剪切、疲劳等试验功能。</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61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4</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技术指标2</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最大载荷≥250N，试验载荷测量范围0.2%~100%FS，试验载荷示值相对误差≤0.5%FS。</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637"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5</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技术指标3</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sz w:val="20"/>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行程≥100mm</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637"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6</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技术指标4</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宋体" w:hAnsi="宋体" w:cs="宋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采用光栅尺作为位移测量传感器</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iCs/>
                <w:color w:val="444444" w:themeColor="text1"/>
                <w:kern w:val="0"/>
                <w:sz w:val="20"/>
                <w:lang w:bidi="ar"/>
                <w14:textFill>
                  <w14:solidFill>
                    <w14:schemeClr w14:val="tx1"/>
                  </w14:solidFill>
                </w14:textFill>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637"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7</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技术指标5</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kern w:val="0"/>
                <w:sz w:val="20"/>
                <w:lang w:bidi="ar"/>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位移分辨率不低于0.1um。</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iCs/>
                <w:color w:val="444444" w:themeColor="text1"/>
                <w:kern w:val="0"/>
                <w:sz w:val="20"/>
                <w:lang w:bidi="ar"/>
                <w14:textFill>
                  <w14:solidFill>
                    <w14:schemeClr w14:val="tx1"/>
                  </w14:solidFill>
                </w14:textFill>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46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8</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技术指标6</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宋体" w:hAnsi="宋体" w:cs="宋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最大加载频率：≥1Hz。</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939"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9</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技术指标7</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宋体" w:hAnsi="宋体" w:cs="宋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eastAsia" w:ascii="黑体" w:hAnsi="黑体" w:eastAsia="黑体" w:cs="黑体"/>
                <w:kern w:val="0"/>
                <w:sz w:val="20"/>
                <w:lang w:bidi="ar"/>
              </w:rPr>
            </w:pPr>
            <w:r>
              <w:rPr>
                <w:rFonts w:hint="eastAsia" w:ascii="黑体" w:hAnsi="黑体" w:eastAsia="黑体" w:cs="黑体"/>
                <w:kern w:val="0"/>
                <w:sz w:val="20"/>
                <w:lang w:bidi="ar"/>
              </w:rPr>
              <w:t>软件需具有试验数据存储功能并且可以设置存储模式，数据可以在主流第三方软件（如excel、origin，matlab等）打开并分析。</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80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10</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技术指标8</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r>
              <w:rPr>
                <w:rFonts w:hint="eastAsia" w:ascii="宋体" w:hAnsi="宋体" w:cs="宋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eastAsia" w:ascii="黑体" w:hAnsi="黑体" w:eastAsia="黑体" w:cs="黑体"/>
                <w:kern w:val="0"/>
                <w:sz w:val="20"/>
                <w:lang w:bidi="ar"/>
              </w:rPr>
            </w:pPr>
            <w:r>
              <w:rPr>
                <w:rFonts w:hint="eastAsia" w:ascii="黑体" w:hAnsi="黑体" w:eastAsia="黑体" w:cs="黑体"/>
                <w:kern w:val="0"/>
                <w:sz w:val="20"/>
                <w:lang w:bidi="ar"/>
              </w:rPr>
              <w:t>可与CCD相机、视频引伸计等观测设备联用，配合软件的循环功能实现间隔圈数、间隔时间对样品状态进行拍照和记录。</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80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11</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技术指标9</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eastAsia" w:ascii="黑体" w:hAnsi="黑体" w:eastAsia="黑体" w:cs="黑体"/>
                <w:kern w:val="0"/>
                <w:sz w:val="20"/>
                <w:lang w:bidi="ar"/>
              </w:rPr>
            </w:pPr>
            <w:r>
              <w:rPr>
                <w:rFonts w:hint="eastAsia" w:ascii="黑体" w:hAnsi="黑体" w:eastAsia="黑体" w:cs="黑体"/>
                <w:kern w:val="0"/>
                <w:sz w:val="20"/>
                <w:lang w:bidi="ar"/>
              </w:rPr>
              <w:t>PID控制，采用闭环反馈控制。</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80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12</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技术指标10</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eastAsia" w:ascii="黑体" w:hAnsi="黑体" w:eastAsia="黑体" w:cs="黑体"/>
                <w:kern w:val="0"/>
                <w:sz w:val="20"/>
                <w:lang w:bidi="ar"/>
              </w:rPr>
            </w:pPr>
            <w:r>
              <w:rPr>
                <w:rFonts w:hint="eastAsia" w:ascii="黑体" w:hAnsi="黑体" w:eastAsia="黑体" w:cs="黑体"/>
                <w:kern w:val="0"/>
                <w:sz w:val="20"/>
                <w:lang w:bidi="ar"/>
              </w:rPr>
              <w:t>设备可以针对不同样品的力学特性进行校准，可实现开环或闭环控制。</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iCs/>
                <w:color w:val="444444" w:themeColor="text1"/>
                <w:kern w:val="0"/>
                <w:sz w:val="20"/>
                <w:lang w:bidi="ar"/>
                <w14:textFill>
                  <w14:solidFill>
                    <w14:schemeClr w14:val="tx1"/>
                  </w14:solidFill>
                </w14:textFill>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657"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13</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技术指标11</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黑体" w:hAnsi="宋体" w:eastAsia="黑体" w:cs="黑体"/>
                <w:sz w:val="20"/>
              </w:rPr>
            </w:pPr>
            <w:r>
              <w:rPr>
                <w:rFonts w:hint="eastAsia" w:ascii="黑体" w:hAnsi="宋体" w:eastAsia="黑体" w:cs="黑体"/>
                <w:sz w:val="20"/>
              </w:rPr>
              <w:t>设备预约管理模块：支持PC端、手机移动端访问预约服务，支持不同用户按仪器配置规则5实现自主仪器授权申请、仪器上机预约、送样测试申请、实验记录查看、预约取消等功能。</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657"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14</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技术指标12</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黑体" w:hAnsi="宋体" w:eastAsia="黑体" w:cs="黑体"/>
                <w:sz w:val="20"/>
              </w:rPr>
            </w:pPr>
            <w:r>
              <w:rPr>
                <w:rFonts w:hint="eastAsia" w:ascii="黑体" w:hAnsi="宋体" w:eastAsia="黑体" w:cs="黑体"/>
                <w:sz w:val="20"/>
              </w:rPr>
              <w:t>具有2个编码器输入、6个模拟量输入功能和2个模拟量输出功能；</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iCs/>
                <w:color w:val="444444" w:themeColor="text1"/>
                <w:kern w:val="0"/>
                <w:sz w:val="20"/>
                <w:lang w:bidi="ar"/>
                <w14:textFill>
                  <w14:solidFill>
                    <w14:schemeClr w14:val="tx1"/>
                  </w14:solidFill>
                </w14:textFill>
              </w:rPr>
            </w:pPr>
          </w:p>
        </w:tc>
      </w:tr>
      <w:tr>
        <w:tblPrEx>
          <w:tblLayout w:type="fixed"/>
          <w:tblCellMar>
            <w:top w:w="0" w:type="dxa"/>
            <w:left w:w="108" w:type="dxa"/>
            <w:bottom w:w="0" w:type="dxa"/>
            <w:right w:w="108" w:type="dxa"/>
          </w:tblCellMar>
        </w:tblPrEx>
        <w:trPr>
          <w:trHeight w:val="657"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15</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技术指标13</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rPr>
            </w:pP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黑体" w:hAnsi="宋体" w:eastAsia="黑体" w:cs="黑体"/>
                <w:sz w:val="20"/>
              </w:rPr>
            </w:pPr>
            <w:r>
              <w:rPr>
                <w:rFonts w:hint="eastAsia" w:ascii="黑体" w:hAnsi="宋体" w:eastAsia="黑体" w:cs="黑体"/>
                <w:sz w:val="20"/>
              </w:rPr>
              <w:t>A/D 采集系统分辨率为16位，在满量程范围内无需量程切换</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iCs/>
                <w:color w:val="444444" w:themeColor="text1"/>
                <w:kern w:val="0"/>
                <w:sz w:val="20"/>
                <w:lang w:bidi="ar"/>
                <w14:textFill>
                  <w14:solidFill>
                    <w14:schemeClr w14:val="tx1"/>
                  </w14:solidFill>
                </w14:textFill>
              </w:rPr>
            </w:pPr>
          </w:p>
        </w:tc>
      </w:tr>
      <w:tr>
        <w:tblPrEx>
          <w:tblLayout w:type="fixed"/>
          <w:tblCellMar>
            <w:top w:w="0" w:type="dxa"/>
            <w:left w:w="108" w:type="dxa"/>
            <w:bottom w:w="0" w:type="dxa"/>
            <w:right w:w="108" w:type="dxa"/>
          </w:tblCellMar>
        </w:tblPrEx>
        <w:trPr>
          <w:trHeight w:val="50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16</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配置要求1</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宋体" w:eastAsia="黑体" w:cs="黑体"/>
                <w:sz w:val="20"/>
              </w:rPr>
              <w:t>原位</w:t>
            </w:r>
            <w:r>
              <w:rPr>
                <w:rFonts w:hint="eastAsia" w:ascii="黑体" w:hAnsi="黑体" w:eastAsia="黑体" w:cs="黑体"/>
                <w:kern w:val="0"/>
                <w:sz w:val="20"/>
                <w:lang w:bidi="ar"/>
              </w:rPr>
              <w:t>测试主机、控制驱动系统、测试软件、备品备件以及工控机各一套。</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883"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17</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配置要求2</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宋体" w:hAnsi="宋体" w:cs="宋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黑体" w:eastAsia="黑体" w:cs="黑体"/>
                <w:kern w:val="0"/>
                <w:sz w:val="20"/>
                <w:lang w:bidi="ar"/>
              </w:rPr>
            </w:pPr>
            <w:r>
              <w:rPr>
                <w:rFonts w:hint="eastAsia" w:ascii="黑体" w:hAnsi="宋体" w:eastAsia="黑体" w:cs="黑体"/>
                <w:sz w:val="20"/>
              </w:rPr>
              <w:t>加载主机尺寸长宽不大于370mm</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i/>
                <w:iCs/>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883"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18</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配置要求3</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kern w:val="0"/>
                <w:sz w:val="20"/>
                <w:lang w:bidi="ar"/>
              </w:rPr>
            </w:pPr>
            <w:r>
              <w:rPr>
                <w:rFonts w:hint="eastAsia" w:ascii="宋体" w:hAnsi="宋体" w:cs="宋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sz w:val="20"/>
              </w:rPr>
              <w:t>重量不大于15kg，能够配合多种显微镜使用。</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textAlignment w:val="center"/>
              <w:rPr>
                <w:rFonts w:hint="eastAsia" w:ascii="黑体" w:hAnsi="宋体" w:eastAsia="黑体" w:cs="黑体"/>
                <w:iCs/>
                <w:color w:val="444444" w:themeColor="text1"/>
                <w:kern w:val="0"/>
                <w:sz w:val="20"/>
                <w:lang w:bidi="ar"/>
                <w14:textFill>
                  <w14:solidFill>
                    <w14:schemeClr w14:val="tx1"/>
                  </w14:solidFill>
                </w14:textFill>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109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13</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验收标准方法</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按照投标文件、采购合同、质量标准等，组织对设备进行质量验收，出具验收报告。验收过程中对于核心参数存疑需检测的，可委托地方具有相应检测能力的机构提供技术支持。</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hint="eastAsia" w:ascii="黑体" w:hAnsi="宋体" w:eastAsia="黑体" w:cs="黑体"/>
                <w:sz w:val="20"/>
              </w:rPr>
            </w:pPr>
            <w:r>
              <w:rPr>
                <w:rFonts w:hint="eastAsia" w:ascii="黑体" w:hAnsi="宋体" w:eastAsia="黑体" w:cs="黑体"/>
                <w:iCs/>
                <w:color w:val="444444" w:themeColor="text1"/>
                <w:kern w:val="0"/>
                <w:sz w:val="20"/>
                <w:lang w:bidi="ar"/>
                <w14:textFill>
                  <w14:solidFill>
                    <w14:schemeClr w14:val="tx1"/>
                  </w14:solidFill>
                </w14:textFill>
              </w:rPr>
              <w:t>提供具有检测资质的第三方出具的检测报告或制造商盖章彩页或制造商承诺书</w:t>
            </w:r>
          </w:p>
        </w:tc>
      </w:tr>
      <w:tr>
        <w:tblPrEx>
          <w:tblLayout w:type="fixed"/>
          <w:tblCellMar>
            <w:top w:w="0" w:type="dxa"/>
            <w:left w:w="108" w:type="dxa"/>
            <w:bottom w:w="0" w:type="dxa"/>
            <w:right w:w="108" w:type="dxa"/>
          </w:tblCellMar>
        </w:tblPrEx>
        <w:trPr>
          <w:trHeight w:val="500" w:hRule="atLeast"/>
        </w:trPr>
        <w:tc>
          <w:tcPr>
            <w:tcW w:w="8522"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经济要求</w:t>
            </w:r>
          </w:p>
        </w:tc>
      </w:tr>
      <w:tr>
        <w:tblPrEx>
          <w:tblLayout w:type="fixed"/>
          <w:tblCellMar>
            <w:top w:w="0" w:type="dxa"/>
            <w:left w:w="108" w:type="dxa"/>
            <w:bottom w:w="0" w:type="dxa"/>
            <w:right w:w="108" w:type="dxa"/>
          </w:tblCellMar>
        </w:tblPrEx>
        <w:trPr>
          <w:trHeight w:val="85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sz w:val="20"/>
              </w:rPr>
              <w:t>1</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交货时间、交货地点</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合同签订后2个月内交付，交付地点由甲方指定。</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85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lang w:bidi="ar"/>
              </w:rPr>
            </w:pPr>
            <w:r>
              <w:rPr>
                <w:rFonts w:hint="eastAsia" w:ascii="黑体" w:hAnsi="黑体" w:eastAsia="黑体" w:cs="黑体"/>
                <w:sz w:val="20"/>
                <w:lang w:bidi="ar"/>
              </w:rPr>
              <w:t>2</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付款及结算方式</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签订合同物资到货验收后付95%。</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85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3</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履约保证金/质量保证金</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验收合格后满1年无质量问题支付剩余5%（不超过5%）</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85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sz w:val="20"/>
              </w:rPr>
              <w:t>4</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产品包装和运输要求</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按照国家、行业相关标准规范，产品确保包装完好，运输确保不对产品造成损伤。</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85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sz w:val="20"/>
              </w:rPr>
              <w:t>5</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售后服务1</w:t>
            </w:r>
          </w:p>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（质保）</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保修年限不低于3年，全年故障停机时间不高于5%（按365日/年计算)。</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原厂授权</w:t>
            </w:r>
          </w:p>
        </w:tc>
      </w:tr>
      <w:tr>
        <w:tblPrEx>
          <w:tblLayout w:type="fixed"/>
          <w:tblCellMar>
            <w:top w:w="0" w:type="dxa"/>
            <w:left w:w="108" w:type="dxa"/>
            <w:bottom w:w="0" w:type="dxa"/>
            <w:right w:w="108" w:type="dxa"/>
          </w:tblCellMar>
        </w:tblPrEx>
        <w:trPr>
          <w:trHeight w:val="85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sz w:val="20"/>
              </w:rPr>
              <w:t>6</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售后服务2</w:t>
            </w:r>
          </w:p>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（质保）</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保修期内免费提供定期维护保养服务，免费升级和维护软件，免费提供使用培训。</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85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7</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售后服务3</w:t>
            </w:r>
          </w:p>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（质保）</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提供不少于5人次、7天的工程师维修培训。</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85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sz w:val="20"/>
              </w:rPr>
              <w:t>8</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售后服务4</w:t>
            </w:r>
            <w:r>
              <w:rPr>
                <w:rFonts w:hint="eastAsia" w:ascii="黑体" w:hAnsi="黑体" w:eastAsia="黑体" w:cs="黑体"/>
                <w:kern w:val="0"/>
                <w:sz w:val="20"/>
                <w:lang w:bidi="ar"/>
              </w:rPr>
              <w:br w:type="textWrapping"/>
            </w:r>
            <w:r>
              <w:rPr>
                <w:rFonts w:hint="eastAsia" w:ascii="黑体" w:hAnsi="黑体" w:eastAsia="黑体" w:cs="黑体"/>
                <w:kern w:val="0"/>
                <w:sz w:val="20"/>
                <w:lang w:bidi="ar"/>
              </w:rPr>
              <w:t>（响应时间）</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维修响应时间≤4小时，维修到达现场时间≤4小时。</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85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9</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备品备件要求（零配件）</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由供应商承诺项目使用寿命周期内保证零配件供应。</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85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10</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专用工具</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描述应提供的配套专修工具和使用工具。</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85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sz w:val="20"/>
              </w:rPr>
              <w:t>11</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保密要求</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sz w:val="20"/>
              </w:rPr>
            </w:pPr>
            <w:r>
              <w:rPr>
                <w:rFonts w:hint="eastAsia" w:ascii="黑体" w:hAnsi="宋体" w:eastAsia="黑体" w:cs="黑体"/>
                <w:kern w:val="0"/>
                <w:sz w:val="20"/>
                <w:lang w:bidi="ar"/>
              </w:rPr>
              <w:t>无。</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p>
        </w:tc>
      </w:tr>
      <w:tr>
        <w:tblPrEx>
          <w:tblLayout w:type="fixed"/>
          <w:tblCellMar>
            <w:top w:w="0" w:type="dxa"/>
            <w:left w:w="108" w:type="dxa"/>
            <w:bottom w:w="0" w:type="dxa"/>
            <w:right w:w="108" w:type="dxa"/>
          </w:tblCellMar>
        </w:tblPrEx>
        <w:trPr>
          <w:trHeight w:val="85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sz w:val="20"/>
              </w:rPr>
              <w:t>12</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sz w:val="20"/>
              </w:rPr>
            </w:pPr>
            <w:r>
              <w:rPr>
                <w:rFonts w:hint="eastAsia" w:ascii="黑体" w:hAnsi="黑体" w:eastAsia="黑体" w:cs="黑体"/>
                <w:kern w:val="0"/>
                <w:sz w:val="20"/>
                <w:lang w:bidi="ar"/>
              </w:rPr>
              <w:t>知识产权</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报价供应商应当保证采购单位在使用该物资或其任何一部分时，不受第三方侵权指控。同时，报价供应商不得向第三方泄露采购机构提供的技术文件等材料。 基于项目合同履行形成的知识产权和其他权益，其权属归采购单位所有，法律另有规定的除外。</w:t>
            </w:r>
          </w:p>
          <w:p>
            <w:pPr>
              <w:widowControl/>
              <w:spacing w:line="240" w:lineRule="exact"/>
              <w:jc w:val="left"/>
              <w:textAlignment w:val="center"/>
              <w:rPr>
                <w:rFonts w:hint="eastAsia" w:ascii="黑体" w:hAnsi="宋体" w:eastAsia="黑体" w:cs="黑体"/>
                <w:kern w:val="0"/>
                <w:sz w:val="20"/>
                <w:lang w:bidi="ar"/>
              </w:rPr>
            </w:pP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rPr>
            </w:pPr>
            <w:r>
              <w:rPr>
                <w:rFonts w:hint="eastAsia" w:ascii="黑体" w:hAnsi="宋体" w:eastAsia="黑体" w:cs="黑体"/>
                <w:kern w:val="0"/>
                <w:sz w:val="20"/>
                <w:lang w:bidi="ar"/>
              </w:rPr>
              <w:t>企业承诺</w:t>
            </w:r>
          </w:p>
        </w:tc>
      </w:tr>
      <w:tr>
        <w:tblPrEx>
          <w:tblLayout w:type="fixed"/>
          <w:tblCellMar>
            <w:top w:w="0" w:type="dxa"/>
            <w:left w:w="108" w:type="dxa"/>
            <w:bottom w:w="0" w:type="dxa"/>
            <w:right w:w="108" w:type="dxa"/>
          </w:tblCellMar>
        </w:tblPrEx>
        <w:trPr>
          <w:trHeight w:val="850" w:hRule="atLeast"/>
        </w:trPr>
        <w:tc>
          <w:tcPr>
            <w:tcW w:w="47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13</w:t>
            </w:r>
          </w:p>
        </w:tc>
        <w:tc>
          <w:tcPr>
            <w:tcW w:w="136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物资编目编码、打码贴签要求</w:t>
            </w:r>
          </w:p>
        </w:tc>
        <w:tc>
          <w:tcPr>
            <w:tcW w:w="80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w:t>
            </w:r>
          </w:p>
        </w:tc>
        <w:tc>
          <w:tcPr>
            <w:tcW w:w="404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本项目对物资的编目编码、打码贴签要求，报价供应商应当予以明确响应，相关费用包含在报价中。</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否</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企业承诺</w:t>
            </w:r>
          </w:p>
        </w:tc>
      </w:tr>
    </w:tbl>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Segoe UI Symbol">
    <w:panose1 w:val="020B0502040204020203"/>
    <w:charset w:val="00"/>
    <w:family w:val="swiss"/>
    <w:pitch w:val="default"/>
    <w:sig w:usb0="8000006F" w:usb1="1200FBEF" w:usb2="0064C000" w:usb3="00000002" w:csb0="00000001" w:csb1="4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952"/>
    <w:rsid w:val="000855CD"/>
    <w:rsid w:val="0012076D"/>
    <w:rsid w:val="00225CB5"/>
    <w:rsid w:val="00341292"/>
    <w:rsid w:val="00342272"/>
    <w:rsid w:val="00351E32"/>
    <w:rsid w:val="00400082"/>
    <w:rsid w:val="004F6755"/>
    <w:rsid w:val="00754465"/>
    <w:rsid w:val="007A629F"/>
    <w:rsid w:val="00801B66"/>
    <w:rsid w:val="008A01C5"/>
    <w:rsid w:val="008F1A31"/>
    <w:rsid w:val="00917F6B"/>
    <w:rsid w:val="009B0CEF"/>
    <w:rsid w:val="009B4642"/>
    <w:rsid w:val="009C6F2D"/>
    <w:rsid w:val="00A03B1B"/>
    <w:rsid w:val="00BC6551"/>
    <w:rsid w:val="00C24952"/>
    <w:rsid w:val="00C950E2"/>
    <w:rsid w:val="00D8679A"/>
    <w:rsid w:val="00DA5E3F"/>
    <w:rsid w:val="00E76234"/>
    <w:rsid w:val="00EC5C9B"/>
    <w:rsid w:val="00F907BB"/>
    <w:rsid w:val="05CF313A"/>
    <w:rsid w:val="0B3566C7"/>
    <w:rsid w:val="0DE45C36"/>
    <w:rsid w:val="12424C1E"/>
    <w:rsid w:val="12C538A2"/>
    <w:rsid w:val="18186700"/>
    <w:rsid w:val="1AD50D62"/>
    <w:rsid w:val="1B043ED6"/>
    <w:rsid w:val="27292282"/>
    <w:rsid w:val="2A3F778E"/>
    <w:rsid w:val="2E7A7B78"/>
    <w:rsid w:val="40D83EF0"/>
    <w:rsid w:val="427221BC"/>
    <w:rsid w:val="4EAC2029"/>
    <w:rsid w:val="500F1FD3"/>
    <w:rsid w:val="5A6A6462"/>
    <w:rsid w:val="630E06E5"/>
    <w:rsid w:val="686F6AD4"/>
    <w:rsid w:val="691174A4"/>
    <w:rsid w:val="6F026569"/>
    <w:rsid w:val="71184E25"/>
    <w:rsid w:val="754937FF"/>
    <w:rsid w:val="782A5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Body Text Indent"/>
    <w:basedOn w:val="1"/>
    <w:qFormat/>
    <w:uiPriority w:val="0"/>
    <w:pPr>
      <w:spacing w:line="400" w:lineRule="exact"/>
      <w:ind w:firstLine="600" w:firstLineChars="200"/>
    </w:pPr>
    <w:rPr>
      <w:rFonts w:ascii="仿宋_GB2312" w:eastAsia="仿宋_GB2312"/>
      <w:sz w:val="3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tabs>
        <w:tab w:val="center" w:pos="4153"/>
        <w:tab w:val="right" w:pos="8306"/>
      </w:tabs>
      <w:snapToGrid w:val="0"/>
      <w:jc w:val="center"/>
    </w:pPr>
    <w:rPr>
      <w:sz w:val="18"/>
      <w:szCs w:val="18"/>
    </w:rPr>
  </w:style>
  <w:style w:type="character" w:styleId="8">
    <w:name w:val="Hyperlink"/>
    <w:basedOn w:val="7"/>
    <w:qFormat/>
    <w:uiPriority w:val="0"/>
    <w:rPr>
      <w:color w:val="0000FF"/>
      <w:u w:val="single"/>
    </w:rPr>
  </w:style>
  <w:style w:type="paragraph" w:customStyle="1" w:styleId="9">
    <w:name w:val="Default"/>
    <w:unhideWhenUsed/>
    <w:qFormat/>
    <w:uiPriority w:val="0"/>
    <w:pPr>
      <w:widowControl w:val="0"/>
      <w:autoSpaceDE w:val="0"/>
      <w:autoSpaceDN w:val="0"/>
    </w:pPr>
    <w:rPr>
      <w:rFonts w:hint="eastAsia" w:ascii="黑体" w:hAnsi="黑体" w:eastAsia="黑体" w:cs="Times New Roman"/>
      <w:color w:val="000000"/>
      <w:sz w:val="24"/>
      <w:szCs w:val="22"/>
      <w:lang w:val="en-US" w:eastAsia="zh-CN" w:bidi="ar-SA"/>
    </w:rPr>
  </w:style>
  <w:style w:type="character" w:customStyle="1" w:styleId="10">
    <w:name w:val="font111"/>
    <w:basedOn w:val="7"/>
    <w:qFormat/>
    <w:uiPriority w:val="0"/>
    <w:rPr>
      <w:rFonts w:hint="eastAsia" w:ascii="黑体" w:hAnsi="宋体" w:eastAsia="黑体" w:cs="黑体"/>
      <w:i/>
      <w:iCs/>
      <w:color w:val="000000"/>
      <w:sz w:val="20"/>
      <w:szCs w:val="20"/>
      <w:u w:val="none"/>
    </w:rPr>
  </w:style>
  <w:style w:type="character" w:customStyle="1" w:styleId="11">
    <w:name w:val="页眉 字符"/>
    <w:basedOn w:val="7"/>
    <w:link w:val="5"/>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444444"/>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1641</Words>
  <Characters>1708</Characters>
  <Lines>284</Lines>
  <Paragraphs>279</Paragraphs>
  <TotalTime>31</TotalTime>
  <ScaleCrop>false</ScaleCrop>
  <LinksUpToDate>false</LinksUpToDate>
  <CharactersWithSpaces>3070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2024-03-07T12:41:00Z</dcterms:created>
  <dc:creator>DOCTOR</dc:creator>
  <cp:lastModifiedBy>cy</cp:lastModifiedBy>
  <cp:lastPrinted>2026-03-18T09:36:00Z</cp:lastPrinted>
  <dcterms:modified xsi:type="dcterms:W3CDTF">2026-04-10T01:07:33Z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eyJoZGlkIjoiNTVmYjAxNDczYWIyOTQ4MTcwYjAwYzUxMzFjMDVhMzciLCJ1c2VySWQiOiIzNDk1ODEzMzIifQ==</vt:lpwstr>
  </property>
  <property fmtid="{D5CDD505-2E9C-101B-9397-08002B2CF9AE}" pid="4" name="ICV">
    <vt:lpwstr>413C0F93191941D68FE4DD7FAA688EC1_13</vt:lpwstr>
  </property>
</Properties>
</file>