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before="156" w:beforeLines="50" w:after="156" w:afterLines="50" w:line="572" w:lineRule="exact"/>
        <w:jc w:val="center"/>
        <w:rPr>
          <w:rFonts w:hint="eastAsia" w:ascii="方正小标宋简体" w:hAnsi="方正小标宋简体" w:eastAsia="方正小标宋简体" w:cs="方正小标宋简体"/>
          <w:kern w:val="0"/>
          <w:sz w:val="44"/>
          <w:szCs w:val="44"/>
        </w:rPr>
      </w:pPr>
    </w:p>
    <w:p>
      <w:pPr>
        <w:overflowPunct w:val="0"/>
        <w:spacing w:before="156" w:beforeLines="50" w:after="156" w:afterLines="50" w:line="572" w:lineRule="exact"/>
        <w:jc w:val="center"/>
        <w:outlineLvl w:val="0"/>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采购需求表（物资类）</w:t>
      </w:r>
    </w:p>
    <w:tbl>
      <w:tblPr>
        <w:tblStyle w:val="6"/>
        <w:tblpPr w:leftFromText="180" w:rightFromText="180" w:vertAnchor="text" w:horzAnchor="page" w:tblpXSpec="center" w:tblpY="807"/>
        <w:tblOverlap w:val="never"/>
        <w:tblW w:w="9060" w:type="dxa"/>
        <w:tblInd w:w="0" w:type="dxa"/>
        <w:tblLayout w:type="fixed"/>
        <w:tblCellMar>
          <w:top w:w="0" w:type="dxa"/>
          <w:left w:w="108" w:type="dxa"/>
          <w:bottom w:w="0" w:type="dxa"/>
          <w:right w:w="108" w:type="dxa"/>
        </w:tblCellMar>
      </w:tblPr>
      <w:tblGrid>
        <w:gridCol w:w="501"/>
        <w:gridCol w:w="1389"/>
        <w:gridCol w:w="804"/>
        <w:gridCol w:w="3201"/>
        <w:gridCol w:w="1208"/>
        <w:gridCol w:w="727"/>
        <w:gridCol w:w="1230"/>
      </w:tblGrid>
      <w:tr>
        <w:tblPrEx>
          <w:tblCellMar>
            <w:top w:w="0" w:type="dxa"/>
            <w:left w:w="108" w:type="dxa"/>
            <w:bottom w:w="0" w:type="dxa"/>
            <w:right w:w="108" w:type="dxa"/>
          </w:tblCellMar>
        </w:tblPrEx>
        <w:trPr>
          <w:trHeight w:val="500" w:hRule="atLeast"/>
        </w:trPr>
        <w:tc>
          <w:tcPr>
            <w:tcW w:w="2694" w:type="dxa"/>
            <w:gridSpan w:val="3"/>
            <w:tcBorders>
              <w:top w:val="single" w:color="000000" w:sz="4" w:space="0"/>
              <w:left w:val="single" w:color="000000" w:sz="4" w:space="0"/>
              <w:bottom w:val="single" w:color="000000" w:sz="4" w:space="0"/>
              <w:right w:val="nil"/>
            </w:tcBorders>
            <w:vAlign w:val="center"/>
          </w:tcPr>
          <w:p>
            <w:pPr>
              <w:widowControl/>
              <w:spacing w:after="0" w:line="240" w:lineRule="exact"/>
              <w:jc w:val="center"/>
              <w:rPr>
                <w:rFonts w:hint="eastAsia" w:ascii="黑体" w:hAnsi="宋体" w:eastAsia="黑体" w:cs="黑体"/>
                <w:sz w:val="20"/>
              </w:rPr>
            </w:pPr>
            <w:bookmarkStart w:id="7" w:name="_GoBack"/>
            <w:bookmarkEnd w:id="7"/>
            <w:r>
              <w:rPr>
                <w:rFonts w:hint="eastAsia" w:ascii="黑体" w:hAnsi="宋体" w:eastAsia="黑体" w:cs="黑体"/>
                <w:kern w:val="0"/>
                <w:sz w:val="20"/>
                <w:lang w:bidi="ar"/>
              </w:rPr>
              <w:t>项目名称</w:t>
            </w:r>
          </w:p>
        </w:tc>
        <w:tc>
          <w:tcPr>
            <w:tcW w:w="3201" w:type="dxa"/>
            <w:tcBorders>
              <w:top w:val="single" w:color="000000" w:sz="4" w:space="0"/>
              <w:left w:val="single" w:color="000000" w:sz="4" w:space="0"/>
              <w:bottom w:val="nil"/>
              <w:right w:val="single" w:color="000000" w:sz="4" w:space="0"/>
            </w:tcBorders>
            <w:vAlign w:val="center"/>
          </w:tcPr>
          <w:p>
            <w:pPr>
              <w:widowControl/>
              <w:spacing w:after="0" w:line="240" w:lineRule="exact"/>
              <w:jc w:val="center"/>
              <w:rPr>
                <w:rFonts w:hint="eastAsia" w:ascii="黑体" w:hAnsi="宋体" w:eastAsia="黑体" w:cs="黑体"/>
                <w:sz w:val="20"/>
              </w:rPr>
            </w:pPr>
            <w:r>
              <w:rPr>
                <w:rFonts w:hint="eastAsia" w:ascii="黑体" w:hAnsi="宋体" w:eastAsia="黑体" w:cs="黑体"/>
                <w:sz w:val="20"/>
              </w:rPr>
              <w:t>光敏树脂3D打印机</w:t>
            </w:r>
          </w:p>
        </w:tc>
        <w:tc>
          <w:tcPr>
            <w:tcW w:w="1208"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最高限价（万元）</w:t>
            </w:r>
          </w:p>
        </w:tc>
        <w:tc>
          <w:tcPr>
            <w:tcW w:w="195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rPr>
                <w:rFonts w:hint="eastAsia" w:ascii="黑体" w:hAnsi="宋体" w:eastAsia="黑体" w:cs="黑体"/>
                <w:sz w:val="20"/>
              </w:rPr>
            </w:pPr>
            <w:r>
              <w:rPr>
                <w:rFonts w:hint="eastAsia" w:ascii="黑体" w:hAnsi="宋体" w:eastAsia="黑体" w:cs="黑体"/>
                <w:sz w:val="20"/>
              </w:rPr>
              <w:t>48</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序号</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需求名称</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参数</w:t>
            </w:r>
          </w:p>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性质</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需求具体内容</w:t>
            </w:r>
          </w:p>
        </w:tc>
        <w:tc>
          <w:tcPr>
            <w:tcW w:w="727" w:type="dxa"/>
            <w:tcBorders>
              <w:top w:val="single" w:color="000000" w:sz="4" w:space="0"/>
              <w:left w:val="single" w:color="000000" w:sz="4" w:space="0"/>
              <w:bottom w:val="nil"/>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是否</w:t>
            </w:r>
            <w:r>
              <w:rPr>
                <w:rFonts w:hint="eastAsia" w:ascii="黑体" w:hAnsi="宋体" w:eastAsia="黑体" w:cs="黑体"/>
                <w:kern w:val="0"/>
                <w:sz w:val="20"/>
                <w:lang w:bidi="ar"/>
              </w:rPr>
              <w:br w:type="textWrapping"/>
            </w:r>
            <w:r>
              <w:rPr>
                <w:rFonts w:hint="eastAsia" w:ascii="黑体" w:hAnsi="宋体" w:eastAsia="黑体" w:cs="黑体"/>
                <w:kern w:val="0"/>
                <w:sz w:val="20"/>
                <w:lang w:bidi="ar"/>
              </w:rPr>
              <w:t>量化</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备注（证明材料等其他要求）</w:t>
            </w:r>
          </w:p>
        </w:tc>
      </w:tr>
      <w:tr>
        <w:tblPrEx>
          <w:tblCellMar>
            <w:top w:w="0" w:type="dxa"/>
            <w:left w:w="108" w:type="dxa"/>
            <w:bottom w:w="0" w:type="dxa"/>
            <w:right w:w="108" w:type="dxa"/>
          </w:tblCellMar>
        </w:tblPrEx>
        <w:trPr>
          <w:trHeight w:val="500" w:hRule="atLeast"/>
        </w:trPr>
        <w:tc>
          <w:tcPr>
            <w:tcW w:w="906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技术要求</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1</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基本要求</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宋体" w:hAnsi="宋体" w:cs="Arial Unicode MS"/>
                <w:sz w:val="24"/>
                <w:szCs w:val="24"/>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光固化3D打印机</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bookmarkStart w:id="0" w:name="OLE_LINK3"/>
            <w:r>
              <w:rPr>
                <w:rFonts w:hint="eastAsia" w:ascii="黑体" w:hAnsi="宋体" w:eastAsia="黑体" w:cs="黑体"/>
                <w:kern w:val="0"/>
                <w:sz w:val="20"/>
                <w:lang w:bidi="ar"/>
              </w:rPr>
              <w:t>否</w:t>
            </w:r>
            <w:bookmarkEnd w:id="0"/>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ascii="黑体" w:hAnsi="黑体" w:eastAsia="黑体" w:cs="黑体"/>
                <w:kern w:val="0"/>
                <w:sz w:val="20"/>
                <w:lang w:bidi="ar"/>
              </w:rPr>
              <w:t>2</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宋体" w:hAnsi="宋体" w:cs="Arial Unicode MS"/>
                <w:sz w:val="24"/>
                <w:szCs w:val="24"/>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成型尺寸：≥60</w:t>
            </w:r>
            <w:r>
              <w:rPr>
                <w:rFonts w:ascii="黑体" w:hAnsi="宋体" w:eastAsia="黑体" w:cs="黑体"/>
                <w:kern w:val="0"/>
                <w:sz w:val="20"/>
                <w:lang w:bidi="ar"/>
              </w:rPr>
              <w:t>0mm(X)×</w:t>
            </w:r>
            <w:r>
              <w:rPr>
                <w:rFonts w:hint="eastAsia" w:ascii="黑体" w:hAnsi="宋体" w:eastAsia="黑体" w:cs="黑体"/>
                <w:kern w:val="0"/>
                <w:sz w:val="20"/>
                <w:lang w:bidi="ar"/>
              </w:rPr>
              <w:t>60</w:t>
            </w:r>
            <w:r>
              <w:rPr>
                <w:rFonts w:ascii="黑体" w:hAnsi="宋体" w:eastAsia="黑体" w:cs="黑体"/>
                <w:kern w:val="0"/>
                <w:sz w:val="20"/>
                <w:lang w:bidi="ar"/>
              </w:rPr>
              <w:t>0mm(Y)×</w:t>
            </w:r>
            <w:r>
              <w:rPr>
                <w:rFonts w:hint="eastAsia" w:ascii="黑体" w:hAnsi="宋体" w:eastAsia="黑体" w:cs="黑体"/>
                <w:kern w:val="0"/>
                <w:sz w:val="20"/>
                <w:lang w:bidi="ar"/>
              </w:rPr>
              <w:t>400</w:t>
            </w:r>
            <w:r>
              <w:rPr>
                <w:rFonts w:ascii="黑体" w:hAnsi="宋体" w:eastAsia="黑体" w:cs="黑体"/>
                <w:kern w:val="0"/>
                <w:sz w:val="20"/>
                <w:lang w:bidi="ar"/>
              </w:rPr>
              <w:t>mm(Z)；</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bookmarkStart w:id="1" w:name="OLE_LINK9"/>
            <w:r>
              <w:rPr>
                <w:rFonts w:hint="eastAsia" w:ascii="黑体" w:hAnsi="宋体" w:eastAsia="黑体" w:cs="黑体"/>
                <w:kern w:val="0"/>
                <w:sz w:val="20"/>
                <w:lang w:bidi="ar"/>
              </w:rPr>
              <w:t>企业承诺</w:t>
            </w:r>
            <w:bookmarkEnd w:id="1"/>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ascii="黑体" w:hAnsi="黑体" w:eastAsia="黑体" w:cs="黑体"/>
                <w:kern w:val="0"/>
                <w:sz w:val="20"/>
                <w:lang w:bidi="ar"/>
              </w:rPr>
              <w:t>3</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技术指标2</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成型精度：±0.1mm(L≤100mm),±0.1%×Lmm(L＞100mm)；</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ascii="黑体" w:hAnsi="黑体" w:eastAsia="黑体" w:cs="黑体"/>
                <w:kern w:val="0"/>
                <w:sz w:val="20"/>
                <w:lang w:bidi="ar"/>
              </w:rPr>
              <w:t>4</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3</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激光类型：二极管半导体泵浦源水冷激光器，波长=354.7nm,出口功率≥3000mW@30KHZ，优化打印策略，提供水冷激光器相关资料及水冷机实物图片；</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5</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4</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光斑：填充和边缘扫描光斑可变，需提供具有检测资质的第三方出具的检测报告或证书复印件加盖制造商公章；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bookmarkStart w:id="2" w:name="OLE_LINK4"/>
            <w:r>
              <w:rPr>
                <w:rFonts w:hint="eastAsia" w:ascii="黑体" w:hAnsi="宋体" w:eastAsia="黑体" w:cs="黑体"/>
                <w:kern w:val="0"/>
                <w:sz w:val="20"/>
                <w:lang w:bidi="ar"/>
              </w:rPr>
              <w:t>否</w:t>
            </w:r>
            <w:bookmarkEnd w:id="2"/>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6</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5</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涂铺方式：智能定位树脂正压吸附涂浦系统，不锈钢刮刀，保证液面平整和打印效果，需提供具有检测资质的第三方出具的检测报告或证书复印件加盖制造商公章；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bookmarkStart w:id="3" w:name="OLE_LINK8"/>
            <w:r>
              <w:rPr>
                <w:rFonts w:hint="eastAsia" w:ascii="黑体" w:hAnsi="宋体" w:eastAsia="黑体" w:cs="黑体"/>
                <w:kern w:val="0"/>
                <w:sz w:val="20"/>
                <w:lang w:bidi="ar"/>
              </w:rPr>
              <w:t>企业承诺</w:t>
            </w:r>
            <w:bookmarkEnd w:id="3"/>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7</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6</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打印模式：具有变焦模式、精准模式、快速模式、极速模式等自适应不同打印速度和精度要求，需提供系统功能页面截图加盖制造商公章；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8</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7</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uto"/>
              <w:rPr>
                <w:rFonts w:hint="eastAsia" w:ascii="黑体" w:hAnsi="宋体" w:eastAsia="黑体" w:cs="黑体"/>
                <w:kern w:val="0"/>
                <w:sz w:val="20"/>
                <w:lang w:bidi="ar"/>
              </w:rPr>
            </w:pPr>
            <w:r>
              <w:rPr>
                <w:rFonts w:hint="eastAsia" w:ascii="黑体" w:hAnsi="宋体" w:eastAsia="黑体" w:cs="黑体"/>
                <w:kern w:val="0"/>
                <w:sz w:val="20"/>
                <w:lang w:bidi="ar"/>
              </w:rPr>
              <w:t>光学扫描系统：匹配德国Sanlab振镜扫描系统，扫描速度6.0～10.0m/s；</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9</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8</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成型速度：50～180g/h；</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10</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9</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打印材料：提供高光表面光敏树脂≥240Kg</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11</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10</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树脂加热方式：热空气循环加热系统，加热表层树脂，延长树脂保存时间，避免电加热板或贴片长期加热树脂槽导致材料损伤，需提供具有检测资质的第三方出具的检测报告或证书复印件加盖制造商公章；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12</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11</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设备控制系统：Windows7/64位操作系统工业控制计算机+运动控制卡的设备控制方式；工控机处理器不低于core i5,内存≥8G，固态硬盘≥500G，显示器≥15寸；控制方式采用运动控制卡，使用PCI总线运动控制器，通讯速度快，运动位置的实时性好，具有限位保护，模块化接线便于后期维护，提供实物图片；</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13</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12</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设备机械结构：XY一体式“口”字形大理石成型台面,保证机床精度长久稳定，大理石厚度≥60mm，提供实物图片；</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14</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13</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设备尺寸：为符合实际安放要求，需设备尺寸≤1220mm*1200mm*1900mm；</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15</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14</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传动部件及液位传感器：Z轴采用伺服控制器及伺服电机，电机功率≥400W,进口品牌液位传感器，精度≤1.6</w:t>
            </w:r>
            <w:r>
              <w:rPr>
                <w:rFonts w:eastAsia="黑体"/>
                <w:kern w:val="0"/>
                <w:sz w:val="20"/>
                <w:lang w:bidi="ar"/>
              </w:rPr>
              <w:t>μ</w:t>
            </w:r>
            <w:r>
              <w:rPr>
                <w:rFonts w:hint="eastAsia" w:ascii="黑体" w:hAnsi="宋体" w:eastAsia="黑体" w:cs="黑体"/>
                <w:kern w:val="0"/>
                <w:sz w:val="20"/>
                <w:lang w:bidi="ar"/>
              </w:rPr>
              <w:t>m。</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16</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15</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具备蜂鸣报警等安全提示，设备正门采用双层滤光可视板，避免环境光对打印过程及耗材的影响；</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17</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16</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uto"/>
              <w:rPr>
                <w:rFonts w:hint="eastAsia" w:ascii="黑体" w:hAnsi="宋体" w:eastAsia="黑体" w:cs="黑体"/>
                <w:kern w:val="0"/>
                <w:sz w:val="20"/>
                <w:lang w:bidi="ar"/>
              </w:rPr>
            </w:pPr>
            <w:r>
              <w:rPr>
                <w:rFonts w:hint="eastAsia" w:ascii="黑体" w:hAnsi="宋体" w:eastAsia="黑体" w:cs="黑体"/>
                <w:kern w:val="0"/>
                <w:sz w:val="20"/>
                <w:lang w:bidi="ar"/>
              </w:rPr>
              <w:t>随机附件：</w:t>
            </w:r>
          </w:p>
          <w:p>
            <w:pPr>
              <w:spacing w:after="0" w:line="240" w:lineRule="auto"/>
              <w:rPr>
                <w:rFonts w:hint="eastAsia" w:ascii="黑体" w:hAnsi="宋体" w:eastAsia="黑体" w:cs="黑体"/>
                <w:kern w:val="0"/>
                <w:sz w:val="20"/>
                <w:lang w:bidi="ar"/>
              </w:rPr>
            </w:pPr>
            <w:r>
              <w:rPr>
                <w:rFonts w:hint="eastAsia" w:ascii="黑体" w:hAnsi="宋体" w:eastAsia="黑体" w:cs="黑体"/>
                <w:kern w:val="0"/>
                <w:sz w:val="20"/>
                <w:lang w:bidi="ar"/>
              </w:rPr>
              <w:t>a.后固化箱,1台，LED灯管，灯管数量≥6根，具备CE认证证书；</w:t>
            </w:r>
          </w:p>
          <w:p>
            <w:pPr>
              <w:spacing w:after="0" w:line="240" w:lineRule="auto"/>
              <w:rPr>
                <w:rFonts w:hint="eastAsia" w:ascii="黑体" w:hAnsi="宋体" w:eastAsia="黑体" w:cs="黑体"/>
                <w:kern w:val="0"/>
                <w:sz w:val="20"/>
                <w:lang w:bidi="ar"/>
              </w:rPr>
            </w:pPr>
            <w:r>
              <w:rPr>
                <w:rFonts w:hint="eastAsia" w:ascii="黑体" w:hAnsi="宋体" w:eastAsia="黑体" w:cs="黑体"/>
                <w:kern w:val="0"/>
                <w:sz w:val="20"/>
                <w:lang w:bidi="ar"/>
              </w:rPr>
              <w:t>b.机械工具箱，1套；</w:t>
            </w:r>
          </w:p>
          <w:p>
            <w:pPr>
              <w:spacing w:after="0" w:line="240" w:lineRule="auto"/>
              <w:rPr>
                <w:rFonts w:hint="eastAsia" w:ascii="黑体" w:hAnsi="宋体" w:eastAsia="黑体" w:cs="黑体"/>
                <w:kern w:val="0"/>
                <w:sz w:val="20"/>
                <w:lang w:bidi="ar"/>
              </w:rPr>
            </w:pPr>
            <w:r>
              <w:rPr>
                <w:rFonts w:hint="eastAsia" w:ascii="黑体" w:hAnsi="宋体" w:eastAsia="黑体" w:cs="黑体"/>
                <w:kern w:val="0"/>
                <w:sz w:val="20"/>
                <w:lang w:bidi="ar"/>
              </w:rPr>
              <w:t>c.清洗工具，1套：含不锈钢托盘、铲刀、塑料箱、一次性手套、镊子、毛刷和料杯；</w:t>
            </w:r>
          </w:p>
          <w:p>
            <w:pPr>
              <w:spacing w:after="0" w:line="240" w:lineRule="auto"/>
              <w:rPr>
                <w:rFonts w:hint="eastAsia" w:ascii="黑体" w:hAnsi="宋体" w:eastAsia="黑体" w:cs="黑体"/>
                <w:kern w:val="0"/>
                <w:sz w:val="20"/>
                <w:lang w:bidi="ar"/>
              </w:rPr>
            </w:pPr>
            <w:r>
              <w:rPr>
                <w:rFonts w:hint="eastAsia" w:ascii="黑体" w:hAnsi="宋体" w:eastAsia="黑体" w:cs="黑体"/>
                <w:kern w:val="0"/>
                <w:sz w:val="20"/>
                <w:lang w:bidi="ar"/>
              </w:rPr>
              <w:t>d.随机附件，1套：软件光盘、产品出厂合格证、使用说明书、设备及附件装箱清单；</w:t>
            </w:r>
          </w:p>
          <w:p>
            <w:pPr>
              <w:widowControl/>
              <w:spacing w:after="0" w:line="240" w:lineRule="exact"/>
              <w:jc w:val="left"/>
              <w:textAlignment w:val="center"/>
              <w:rPr>
                <w:rFonts w:hint="eastAsia" w:ascii="黑体" w:hAnsi="宋体" w:eastAsia="黑体" w:cs="黑体"/>
                <w:kern w:val="0"/>
                <w:sz w:val="20"/>
                <w:lang w:bidi="ar"/>
              </w:rPr>
            </w:pPr>
            <w:r>
              <w:rPr>
                <w:rFonts w:ascii="黑体" w:hAnsi="宋体" w:eastAsia="黑体" w:cs="黑体"/>
                <w:kern w:val="0"/>
                <w:sz w:val="20"/>
                <w:lang w:bidi="ar"/>
              </w:rPr>
              <w:t>e</w:t>
            </w:r>
            <w:r>
              <w:rPr>
                <w:rFonts w:hint="eastAsia" w:ascii="黑体" w:hAnsi="宋体" w:eastAsia="黑体" w:cs="黑体"/>
                <w:kern w:val="0"/>
                <w:sz w:val="20"/>
                <w:lang w:bidi="ar"/>
              </w:rPr>
              <w:t>.超声波清洗机：1台，内槽尺寸：600*600*400，容量125L，超声功率1500W，SUS304不锈钢材质，超声功率220V 50-60Hz，配备1套独立发生器，不锈钢拖篮1套，震子数量≥6枚。</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18</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17</w:t>
            </w:r>
          </w:p>
        </w:tc>
        <w:tc>
          <w:tcPr>
            <w:tcW w:w="804" w:type="dxa"/>
            <w:tcBorders>
              <w:top w:val="single" w:color="000000" w:sz="4" w:space="0"/>
              <w:left w:val="single" w:color="000000" w:sz="4" w:space="0"/>
              <w:bottom w:val="single" w:color="000000" w:sz="4" w:space="0"/>
              <w:right w:val="single" w:color="000000" w:sz="4" w:space="0"/>
            </w:tcBorders>
            <w:vAlign w:val="center"/>
          </w:tcPr>
          <w:p>
            <w:pPr>
              <w:spacing w:after="0"/>
              <w:jc w:val="cente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设备控制软件：提供正版3D打印控制系统软件，为保障兼容性，设备与配套软件需为同一制造商，具有计算机软件著作权登记证书，终生免费使用、升级并免费新增模块，软件主要功能（需提供下述功能页面截图）：</w:t>
            </w:r>
          </w:p>
          <w:p>
            <w:pPr>
              <w:numPr>
                <w:ilvl w:val="0"/>
                <w:numId w:val="1"/>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自动生成扫描路径，具有变焦模式、精准模式、快速模式、极速模式等自适应不同打印速度和精度要求；</w:t>
            </w:r>
          </w:p>
          <w:p>
            <w:pPr>
              <w:numPr>
                <w:ilvl w:val="0"/>
                <w:numId w:val="1"/>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加工零件阵列复制打印，零件自动排版；</w:t>
            </w:r>
          </w:p>
          <w:p>
            <w:pPr>
              <w:numPr>
                <w:ilvl w:val="0"/>
                <w:numId w:val="1"/>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加工零件摆放位置旋转、镜像等一键操作；</w:t>
            </w:r>
          </w:p>
          <w:p>
            <w:pPr>
              <w:numPr>
                <w:ilvl w:val="0"/>
                <w:numId w:val="1"/>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多线程控制成型平台升降、刮板涂铺、激光扫描跳跨、填充、轮廓扫描等；</w:t>
            </w:r>
          </w:p>
          <w:p>
            <w:pPr>
              <w:numPr>
                <w:ilvl w:val="0"/>
                <w:numId w:val="1"/>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加工零件预测打印时间，显示加工进度；</w:t>
            </w:r>
          </w:p>
          <w:p>
            <w:pPr>
              <w:numPr>
                <w:ilvl w:val="0"/>
                <w:numId w:val="1"/>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具备激光功率实时监测功能；</w:t>
            </w:r>
          </w:p>
          <w:p>
            <w:pPr>
              <w:numPr>
                <w:ilvl w:val="0"/>
                <w:numId w:val="1"/>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零件加工过程中，可以选择任意一个件飞行删除，不影响其他零件进程；</w:t>
            </w:r>
          </w:p>
          <w:p>
            <w:pPr>
              <w:numPr>
                <w:ilvl w:val="0"/>
                <w:numId w:val="1"/>
              </w:numPr>
              <w:spacing w:after="0" w:line="240" w:lineRule="auto"/>
              <w:jc w:val="left"/>
              <w:rPr>
                <w:rFonts w:hint="eastAsia" w:ascii="黑体" w:hAnsi="宋体" w:eastAsia="黑体" w:cs="黑体"/>
                <w:kern w:val="0"/>
                <w:sz w:val="20"/>
                <w:lang w:bidi="ar"/>
              </w:rPr>
            </w:pPr>
            <w:r>
              <w:rPr>
                <w:rFonts w:ascii="黑体" w:hAnsi="宋体" w:eastAsia="黑体" w:cs="黑体"/>
                <w:kern w:val="0"/>
                <w:sz w:val="20"/>
                <w:lang w:bidi="ar"/>
              </w:rPr>
              <w:t>具备偏差设置功能，保证打印件精度</w:t>
            </w:r>
            <w:r>
              <w:rPr>
                <w:rFonts w:hint="eastAsia" w:ascii="黑体" w:hAnsi="宋体" w:eastAsia="黑体" w:cs="黑体"/>
                <w:kern w:val="0"/>
                <w:sz w:val="20"/>
                <w:lang w:bidi="ar"/>
              </w:rPr>
              <w:t>；</w:t>
            </w:r>
          </w:p>
          <w:p>
            <w:pPr>
              <w:numPr>
                <w:ilvl w:val="0"/>
                <w:numId w:val="1"/>
              </w:numPr>
              <w:spacing w:after="0" w:line="240" w:lineRule="auto"/>
              <w:jc w:val="left"/>
              <w:rPr>
                <w:rFonts w:hint="eastAsia" w:ascii="黑体" w:hAnsi="宋体" w:eastAsia="黑体" w:cs="黑体"/>
                <w:kern w:val="0"/>
                <w:sz w:val="20"/>
                <w:lang w:bidi="ar"/>
              </w:rPr>
            </w:pPr>
            <w:r>
              <w:rPr>
                <w:rFonts w:ascii="黑体" w:hAnsi="宋体" w:eastAsia="黑体" w:cs="黑体"/>
                <w:kern w:val="0"/>
                <w:sz w:val="20"/>
                <w:lang w:bidi="ar"/>
              </w:rPr>
              <w:t>具备液位检测、自动液位补偿</w:t>
            </w:r>
            <w:r>
              <w:rPr>
                <w:rFonts w:hint="eastAsia" w:ascii="黑体" w:hAnsi="宋体" w:eastAsia="黑体" w:cs="黑体"/>
                <w:kern w:val="0"/>
                <w:sz w:val="20"/>
                <w:lang w:bidi="ar"/>
              </w:rPr>
              <w:t>功能；</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bookmarkStart w:id="4" w:name="OLE_LINK5"/>
            <w:r>
              <w:rPr>
                <w:rFonts w:hint="eastAsia" w:ascii="黑体" w:hAnsi="宋体" w:eastAsia="黑体" w:cs="黑体"/>
                <w:kern w:val="0"/>
                <w:sz w:val="20"/>
                <w:lang w:bidi="ar"/>
              </w:rPr>
              <w:t>否</w:t>
            </w:r>
            <w:bookmarkEnd w:id="4"/>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300" w:hRule="atLeast"/>
        </w:trPr>
        <w:tc>
          <w:tcPr>
            <w:tcW w:w="501" w:type="dxa"/>
            <w:tcBorders>
              <w:top w:val="single" w:color="000000"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19</w:t>
            </w:r>
          </w:p>
        </w:tc>
        <w:tc>
          <w:tcPr>
            <w:tcW w:w="1389" w:type="dxa"/>
            <w:tcBorders>
              <w:top w:val="single" w:color="000000"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18</w:t>
            </w:r>
          </w:p>
        </w:tc>
        <w:tc>
          <w:tcPr>
            <w:tcW w:w="804" w:type="dxa"/>
            <w:tcBorders>
              <w:top w:val="single" w:color="000000" w:sz="4" w:space="0"/>
              <w:left w:val="single" w:color="000000" w:sz="4" w:space="0"/>
              <w:bottom w:val="single" w:color="auto" w:sz="4" w:space="0"/>
              <w:right w:val="single" w:color="000000" w:sz="4" w:space="0"/>
            </w:tcBorders>
            <w:vAlign w:val="center"/>
          </w:tcPr>
          <w:p>
            <w:pPr>
              <w:spacing w:after="0"/>
              <w:jc w:val="center"/>
              <w:rPr>
                <w:rFonts w:hint="eastAsia" w:ascii="宋体" w:hAnsi="宋体" w:cs="宋体"/>
                <w:kern w:val="0"/>
                <w:sz w:val="20"/>
                <w:lang w:bidi="ar"/>
              </w:rPr>
            </w:pPr>
            <w:r>
              <w:rPr>
                <w:rFonts w:hint="eastAsia" w:ascii="宋体" w:hAnsi="宋体" w:cs="宋体"/>
                <w:kern w:val="0"/>
                <w:sz w:val="20"/>
                <w:lang w:bidi="ar"/>
              </w:rPr>
              <w:t>▲</w:t>
            </w:r>
          </w:p>
        </w:tc>
        <w:tc>
          <w:tcPr>
            <w:tcW w:w="4409" w:type="dxa"/>
            <w:gridSpan w:val="2"/>
            <w:tcBorders>
              <w:top w:val="single" w:color="000000" w:sz="4" w:space="0"/>
              <w:left w:val="single" w:color="000000" w:sz="4" w:space="0"/>
              <w:bottom w:val="single" w:color="auto" w:sz="4" w:space="0"/>
              <w:right w:val="single" w:color="000000" w:sz="4" w:space="0"/>
            </w:tcBorders>
            <w:vAlign w:val="center"/>
          </w:tcPr>
          <w:p>
            <w:p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数据处理软件：提供正版三维数据分层切片处理软件，为保障兼容性，设备与配套软件需为同一制造商，具有计算机软件著作权登记证书，终生免费使用、升级并免费新增模块，软件主要功能（需提供下述功能页面截图）：</w:t>
            </w:r>
          </w:p>
          <w:p>
            <w:pPr>
              <w:numPr>
                <w:ilvl w:val="0"/>
                <w:numId w:val="2"/>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软件可接受*.STEP、*.STL、*.OBJ、*.Prt、*.SLDPRT、*.IGS等通用格式，输出格式为*.SLC非加密通用格式；</w:t>
            </w:r>
          </w:p>
          <w:p>
            <w:pPr>
              <w:numPr>
                <w:ilvl w:val="0"/>
                <w:numId w:val="2"/>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数据文件旋转、移动、缩放、测量、抽壳、简化功能等可视化模块；</w:t>
            </w:r>
          </w:p>
          <w:p>
            <w:pPr>
              <w:numPr>
                <w:ilvl w:val="0"/>
                <w:numId w:val="2"/>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数据文件法向、外壳、面片、管道、孔洞等自动修复；</w:t>
            </w:r>
          </w:p>
          <w:p>
            <w:pPr>
              <w:numPr>
                <w:ilvl w:val="0"/>
                <w:numId w:val="2"/>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数据文件自动切片功能模块；</w:t>
            </w:r>
          </w:p>
          <w:p>
            <w:pPr>
              <w:numPr>
                <w:ilvl w:val="0"/>
                <w:numId w:val="2"/>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具有一键加支撑功能，多种支撑（线形支撑、十字支撑及柱状实体支撑）的自动生成与编辑；</w:t>
            </w:r>
          </w:p>
          <w:p>
            <w:pPr>
              <w:numPr>
                <w:ilvl w:val="0"/>
                <w:numId w:val="2"/>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直接输出加工设备需要的层数据文件；</w:t>
            </w:r>
          </w:p>
          <w:p>
            <w:pPr>
              <w:widowControl/>
              <w:spacing w:after="0" w:line="240" w:lineRule="exact"/>
              <w:jc w:val="left"/>
              <w:textAlignment w:val="center"/>
              <w:rPr>
                <w:rFonts w:hint="eastAsia" w:ascii="黑体" w:hAnsi="宋体" w:eastAsia="黑体" w:cs="黑体"/>
                <w:kern w:val="0"/>
                <w:sz w:val="20"/>
                <w:lang w:bidi="ar"/>
              </w:rPr>
            </w:pPr>
          </w:p>
        </w:tc>
        <w:tc>
          <w:tcPr>
            <w:tcW w:w="727" w:type="dxa"/>
            <w:tcBorders>
              <w:top w:val="single" w:color="000000"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218" w:hRule="atLeast"/>
        </w:trPr>
        <w:tc>
          <w:tcPr>
            <w:tcW w:w="501" w:type="dxa"/>
            <w:tcBorders>
              <w:top w:val="single" w:color="auto" w:sz="4" w:space="0"/>
              <w:left w:val="single" w:color="000000" w:sz="4" w:space="0"/>
              <w:bottom w:val="single" w:color="auto" w:sz="4" w:space="0"/>
              <w:right w:val="single" w:color="000000" w:sz="4" w:space="0"/>
            </w:tcBorders>
            <w:vAlign w:val="center"/>
          </w:tcPr>
          <w:p>
            <w:pPr>
              <w:spacing w:after="0" w:line="240" w:lineRule="exact"/>
              <w:jc w:val="center"/>
              <w:textAlignment w:val="center"/>
              <w:rPr>
                <w:rFonts w:hint="eastAsia" w:ascii="黑体" w:hAnsi="黑体" w:eastAsia="黑体" w:cs="黑体"/>
                <w:kern w:val="0"/>
                <w:sz w:val="20"/>
                <w:lang w:bidi="ar"/>
              </w:rPr>
            </w:pPr>
            <w:r>
              <w:rPr>
                <w:rFonts w:ascii="黑体" w:hAnsi="黑体" w:eastAsia="黑体" w:cs="黑体"/>
                <w:kern w:val="0"/>
                <w:sz w:val="20"/>
                <w:lang w:bidi="ar"/>
              </w:rPr>
              <w:t>20</w:t>
            </w:r>
          </w:p>
        </w:tc>
        <w:tc>
          <w:tcPr>
            <w:tcW w:w="1389" w:type="dxa"/>
            <w:tcBorders>
              <w:top w:val="single" w:color="auto" w:sz="4" w:space="0"/>
              <w:left w:val="single" w:color="000000" w:sz="4" w:space="0"/>
              <w:bottom w:val="single" w:color="auto" w:sz="4" w:space="0"/>
              <w:right w:val="single" w:color="000000" w:sz="4" w:space="0"/>
            </w:tcBorders>
            <w:vAlign w:val="center"/>
          </w:tcPr>
          <w:p>
            <w:pPr>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19</w:t>
            </w:r>
          </w:p>
        </w:tc>
        <w:tc>
          <w:tcPr>
            <w:tcW w:w="804" w:type="dxa"/>
            <w:tcBorders>
              <w:top w:val="single" w:color="auto" w:sz="4" w:space="0"/>
              <w:left w:val="single" w:color="000000" w:sz="4" w:space="0"/>
              <w:bottom w:val="single" w:color="auto" w:sz="4" w:space="0"/>
              <w:right w:val="single" w:color="000000" w:sz="4" w:space="0"/>
            </w:tcBorders>
            <w:vAlign w:val="center"/>
          </w:tcPr>
          <w:p>
            <w:pPr>
              <w:spacing w:after="0"/>
              <w:jc w:val="center"/>
              <w:rPr>
                <w:rFonts w:hint="eastAsia" w:ascii="宋体" w:hAnsi="宋体" w:cs="宋体"/>
                <w:kern w:val="0"/>
                <w:sz w:val="20"/>
                <w:lang w:bidi="ar"/>
              </w:rPr>
            </w:pPr>
            <w:r>
              <w:rPr>
                <w:rFonts w:hint="eastAsia" w:ascii="宋体" w:hAnsi="宋体" w:cs="宋体"/>
                <w:kern w:val="0"/>
                <w:sz w:val="20"/>
                <w:lang w:bidi="ar"/>
              </w:rPr>
              <w:t>▲</w:t>
            </w:r>
          </w:p>
        </w:tc>
        <w:tc>
          <w:tcPr>
            <w:tcW w:w="4409" w:type="dxa"/>
            <w:gridSpan w:val="2"/>
            <w:tcBorders>
              <w:top w:val="single" w:color="auto" w:sz="4" w:space="0"/>
              <w:left w:val="single" w:color="000000" w:sz="4" w:space="0"/>
              <w:bottom w:val="single" w:color="auto" w:sz="4" w:space="0"/>
              <w:right w:val="single" w:color="000000" w:sz="4" w:space="0"/>
            </w:tcBorders>
            <w:vAlign w:val="center"/>
          </w:tcPr>
          <w:p>
            <w:p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三维数据浏览软件：提供与设备同一厂家的正版三维数据浏览软件，具有计算机软件著作权登记证书，终生免费使用、升级并免费新增模块，软件主要功能（需提供下述功能页面截图）：</w:t>
            </w:r>
          </w:p>
          <w:p>
            <w:pPr>
              <w:numPr>
                <w:ilvl w:val="0"/>
                <w:numId w:val="3"/>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STL多文件加载浏览，STL文件移动、缩放、旋转；</w:t>
            </w:r>
          </w:p>
          <w:p>
            <w:pPr>
              <w:numPr>
                <w:ilvl w:val="0"/>
                <w:numId w:val="3"/>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STEP文件、STL文件多文件接口，方便多渠道获取数据文件；</w:t>
            </w:r>
          </w:p>
          <w:p>
            <w:pPr>
              <w:numPr>
                <w:ilvl w:val="0"/>
                <w:numId w:val="3"/>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零件距离测量、重量计算、直接在数据浏览软件观察文件；</w:t>
            </w:r>
          </w:p>
          <w:p>
            <w:pPr>
              <w:numPr>
                <w:ilvl w:val="0"/>
                <w:numId w:val="3"/>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STEP格式转STL格式；</w:t>
            </w:r>
          </w:p>
          <w:p>
            <w:pPr>
              <w:numPr>
                <w:ilvl w:val="0"/>
                <w:numId w:val="3"/>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直接读取文件零件体积、包围盒零件体积、形成统计表，保存为Excel文件表格，直接导出合同；</w:t>
            </w:r>
          </w:p>
        </w:tc>
        <w:tc>
          <w:tcPr>
            <w:tcW w:w="727" w:type="dxa"/>
            <w:tcBorders>
              <w:top w:val="single" w:color="auto"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auto"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300" w:hRule="atLeast"/>
        </w:trPr>
        <w:tc>
          <w:tcPr>
            <w:tcW w:w="501" w:type="dxa"/>
            <w:tcBorders>
              <w:top w:val="single" w:color="auto" w:sz="4" w:space="0"/>
              <w:left w:val="single" w:color="000000" w:sz="4" w:space="0"/>
              <w:bottom w:val="single" w:color="auto" w:sz="4" w:space="0"/>
              <w:right w:val="single" w:color="000000" w:sz="4" w:space="0"/>
            </w:tcBorders>
            <w:vAlign w:val="center"/>
          </w:tcPr>
          <w:p>
            <w:pPr>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w:t>
            </w:r>
            <w:r>
              <w:rPr>
                <w:rFonts w:ascii="黑体" w:hAnsi="黑体" w:eastAsia="黑体" w:cs="黑体"/>
                <w:kern w:val="0"/>
                <w:sz w:val="20"/>
                <w:lang w:bidi="ar"/>
              </w:rPr>
              <w:t>1</w:t>
            </w:r>
          </w:p>
        </w:tc>
        <w:tc>
          <w:tcPr>
            <w:tcW w:w="1389" w:type="dxa"/>
            <w:tcBorders>
              <w:top w:val="single" w:color="auto" w:sz="4" w:space="0"/>
              <w:left w:val="single" w:color="000000" w:sz="4" w:space="0"/>
              <w:bottom w:val="single" w:color="auto" w:sz="4" w:space="0"/>
              <w:right w:val="single" w:color="000000" w:sz="4" w:space="0"/>
            </w:tcBorders>
            <w:vAlign w:val="center"/>
          </w:tcPr>
          <w:p>
            <w:pPr>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w:t>
            </w:r>
            <w:r>
              <w:rPr>
                <w:rFonts w:ascii="黑体" w:hAnsi="黑体" w:eastAsia="黑体" w:cs="黑体"/>
                <w:kern w:val="0"/>
                <w:sz w:val="20"/>
                <w:lang w:bidi="ar"/>
              </w:rPr>
              <w:t>20</w:t>
            </w:r>
          </w:p>
        </w:tc>
        <w:tc>
          <w:tcPr>
            <w:tcW w:w="804" w:type="dxa"/>
            <w:tcBorders>
              <w:top w:val="single" w:color="auto" w:sz="4" w:space="0"/>
              <w:left w:val="single" w:color="000000" w:sz="4" w:space="0"/>
              <w:bottom w:val="single" w:color="auto" w:sz="4" w:space="0"/>
              <w:right w:val="single" w:color="000000" w:sz="4" w:space="0"/>
            </w:tcBorders>
            <w:vAlign w:val="center"/>
          </w:tcPr>
          <w:p>
            <w:pPr>
              <w:spacing w:after="0"/>
              <w:jc w:val="center"/>
              <w:rPr>
                <w:rFonts w:hint="eastAsia" w:ascii="宋体" w:hAnsi="宋体" w:cs="宋体"/>
                <w:kern w:val="0"/>
                <w:sz w:val="20"/>
                <w:lang w:bidi="ar"/>
              </w:rPr>
            </w:pPr>
            <w:bookmarkStart w:id="5" w:name="OLE_LINK1"/>
            <w:bookmarkStart w:id="6" w:name="OLE_LINK2"/>
            <w:r>
              <w:rPr>
                <w:rFonts w:hint="eastAsia" w:ascii="宋体" w:hAnsi="宋体" w:cs="宋体"/>
                <w:kern w:val="0"/>
                <w:sz w:val="20"/>
                <w:lang w:bidi="ar"/>
              </w:rPr>
              <w:t>▲</w:t>
            </w:r>
            <w:bookmarkEnd w:id="5"/>
            <w:bookmarkEnd w:id="6"/>
          </w:p>
        </w:tc>
        <w:tc>
          <w:tcPr>
            <w:tcW w:w="4409" w:type="dxa"/>
            <w:gridSpan w:val="2"/>
            <w:tcBorders>
              <w:top w:val="single" w:color="auto" w:sz="4" w:space="0"/>
              <w:left w:val="single" w:color="000000" w:sz="4" w:space="0"/>
              <w:bottom w:val="single" w:color="auto" w:sz="4" w:space="0"/>
              <w:right w:val="single" w:color="000000" w:sz="4" w:space="0"/>
            </w:tcBorders>
            <w:vAlign w:val="center"/>
          </w:tcPr>
          <w:p>
            <w:p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远程管理系统：提供与设备同一厂家专业3D打印远程管理系统（含手机端和电脑端软件），具有计算机软件著作权登记证书，终生免费使用、升级并免费新增模块，软件主要功能（需提供下述功能页面截图）：</w:t>
            </w:r>
          </w:p>
          <w:p>
            <w:pPr>
              <w:numPr>
                <w:ilvl w:val="0"/>
                <w:numId w:val="4"/>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远程故障反馈与诊断；</w:t>
            </w:r>
          </w:p>
          <w:p>
            <w:pPr>
              <w:numPr>
                <w:ilvl w:val="0"/>
                <w:numId w:val="4"/>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数据分析功能：对使用率、功率、设备耗材进行统计分析；</w:t>
            </w:r>
          </w:p>
          <w:p>
            <w:pPr>
              <w:numPr>
                <w:ilvl w:val="0"/>
                <w:numId w:val="4"/>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手机APP与计算机端交互客户服务；</w:t>
            </w:r>
          </w:p>
          <w:p>
            <w:pPr>
              <w:numPr>
                <w:ilvl w:val="0"/>
                <w:numId w:val="4"/>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远程打印全链路排队与远程历史数据保存；</w:t>
            </w:r>
          </w:p>
          <w:p>
            <w:pPr>
              <w:numPr>
                <w:ilvl w:val="0"/>
                <w:numId w:val="4"/>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多种机型3D打印机网络化管理；</w:t>
            </w:r>
          </w:p>
          <w:p>
            <w:pPr>
              <w:numPr>
                <w:ilvl w:val="0"/>
                <w:numId w:val="4"/>
              </w:numPr>
              <w:spacing w:after="0" w:line="240" w:lineRule="auto"/>
              <w:jc w:val="left"/>
              <w:rPr>
                <w:rFonts w:hint="eastAsia" w:ascii="黑体" w:hAnsi="宋体" w:eastAsia="黑体" w:cs="黑体"/>
                <w:kern w:val="0"/>
                <w:sz w:val="20"/>
                <w:lang w:bidi="ar"/>
              </w:rPr>
            </w:pPr>
            <w:r>
              <w:rPr>
                <w:rFonts w:hint="eastAsia" w:ascii="黑体" w:hAnsi="宋体" w:eastAsia="黑体" w:cs="黑体"/>
                <w:kern w:val="0"/>
                <w:sz w:val="20"/>
                <w:lang w:bidi="ar"/>
              </w:rPr>
              <w:t>远程打印实时监控和查询；</w:t>
            </w:r>
          </w:p>
        </w:tc>
        <w:tc>
          <w:tcPr>
            <w:tcW w:w="727" w:type="dxa"/>
            <w:tcBorders>
              <w:top w:val="single" w:color="auto"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auto"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270" w:hRule="atLeast"/>
        </w:trPr>
        <w:tc>
          <w:tcPr>
            <w:tcW w:w="501" w:type="dxa"/>
            <w:tcBorders>
              <w:top w:val="single" w:color="auto" w:sz="4" w:space="0"/>
              <w:left w:val="single" w:color="000000" w:sz="4" w:space="0"/>
              <w:bottom w:val="single" w:color="auto" w:sz="4" w:space="0"/>
              <w:right w:val="single" w:color="000000" w:sz="4" w:space="0"/>
            </w:tcBorders>
            <w:vAlign w:val="center"/>
          </w:tcPr>
          <w:p>
            <w:pPr>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22</w:t>
            </w:r>
          </w:p>
        </w:tc>
        <w:tc>
          <w:tcPr>
            <w:tcW w:w="1389" w:type="dxa"/>
            <w:tcBorders>
              <w:top w:val="single" w:color="auto" w:sz="4" w:space="0"/>
              <w:left w:val="single" w:color="000000" w:sz="4" w:space="0"/>
              <w:bottom w:val="single" w:color="auto" w:sz="4" w:space="0"/>
              <w:right w:val="single" w:color="000000" w:sz="4" w:space="0"/>
            </w:tcBorders>
            <w:vAlign w:val="center"/>
          </w:tcPr>
          <w:p>
            <w:pPr>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配置要求1</w:t>
            </w:r>
          </w:p>
        </w:tc>
        <w:tc>
          <w:tcPr>
            <w:tcW w:w="804" w:type="dxa"/>
            <w:tcBorders>
              <w:top w:val="single" w:color="auto" w:sz="4" w:space="0"/>
              <w:left w:val="single" w:color="000000" w:sz="4" w:space="0"/>
              <w:bottom w:val="single" w:color="auto" w:sz="4" w:space="0"/>
              <w:right w:val="single" w:color="000000" w:sz="4" w:space="0"/>
            </w:tcBorders>
            <w:vAlign w:val="center"/>
          </w:tcPr>
          <w:p>
            <w:pPr>
              <w:spacing w:after="0"/>
              <w:jc w:val="center"/>
              <w:rPr>
                <w:rFonts w:hint="eastAsia" w:ascii="宋体" w:hAnsi="宋体" w:cs="宋体"/>
                <w:kern w:val="0"/>
                <w:sz w:val="20"/>
                <w:lang w:bidi="ar"/>
              </w:rPr>
            </w:pPr>
            <w:r>
              <w:rPr>
                <w:rFonts w:hint="eastAsia" w:ascii="黑体" w:hAnsi="宋体" w:eastAsia="黑体" w:cs="黑体"/>
                <w:kern w:val="0"/>
                <w:sz w:val="20"/>
                <w:lang w:bidi="ar"/>
              </w:rPr>
              <w:t>★</w:t>
            </w:r>
          </w:p>
        </w:tc>
        <w:tc>
          <w:tcPr>
            <w:tcW w:w="4409" w:type="dxa"/>
            <w:gridSpan w:val="2"/>
            <w:tcBorders>
              <w:top w:val="single" w:color="auto" w:sz="4" w:space="0"/>
              <w:left w:val="single" w:color="000000" w:sz="4" w:space="0"/>
              <w:bottom w:val="single" w:color="auto" w:sz="4" w:space="0"/>
              <w:right w:val="single" w:color="000000" w:sz="4" w:space="0"/>
            </w:tcBorders>
            <w:vAlign w:val="center"/>
          </w:tcPr>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（1）光固化3D打印机     1台，</w:t>
            </w:r>
          </w:p>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（2）UV固化箱            1台，</w:t>
            </w:r>
          </w:p>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（3）超声波清洗机        1台，</w:t>
            </w:r>
          </w:p>
          <w:p>
            <w:pPr>
              <w:widowControl/>
              <w:spacing w:after="0"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（4）树脂材料（耗材）    240KG，</w:t>
            </w:r>
          </w:p>
          <w:p>
            <w:pPr>
              <w:widowControl/>
              <w:spacing w:after="0" w:line="240" w:lineRule="exact"/>
              <w:jc w:val="left"/>
              <w:textAlignment w:val="center"/>
              <w:rPr>
                <w:rFonts w:hint="eastAsia" w:cs="宋体" w:asciiTheme="minorEastAsia" w:hAnsiTheme="minorEastAsia" w:eastAsiaTheme="minorEastAsia"/>
                <w:szCs w:val="21"/>
              </w:rPr>
            </w:pPr>
            <w:r>
              <w:rPr>
                <w:rFonts w:hint="eastAsia" w:ascii="黑体" w:hAnsi="宋体" w:eastAsia="黑体" w:cs="黑体"/>
                <w:kern w:val="0"/>
                <w:sz w:val="20"/>
                <w:lang w:bidi="ar"/>
              </w:rPr>
              <w:t>（5）机械及清洗工具      1套；</w:t>
            </w:r>
          </w:p>
        </w:tc>
        <w:tc>
          <w:tcPr>
            <w:tcW w:w="727" w:type="dxa"/>
            <w:tcBorders>
              <w:top w:val="single" w:color="auto"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230" w:type="dxa"/>
            <w:tcBorders>
              <w:top w:val="single" w:color="auto" w:sz="4" w:space="0"/>
              <w:left w:val="single" w:color="000000" w:sz="4" w:space="0"/>
              <w:bottom w:val="single" w:color="auto"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109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ascii="黑体" w:hAnsi="宋体" w:eastAsia="黑体" w:cs="黑体"/>
                <w:kern w:val="0"/>
                <w:sz w:val="20"/>
                <w:lang w:bidi="ar"/>
              </w:rPr>
              <w:t>2</w:t>
            </w:r>
            <w:r>
              <w:rPr>
                <w:rFonts w:hint="eastAsia" w:ascii="黑体" w:hAnsi="宋体" w:eastAsia="黑体" w:cs="黑体"/>
                <w:kern w:val="0"/>
                <w:sz w:val="20"/>
                <w:lang w:bidi="ar"/>
              </w:rPr>
              <w:t>3</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验收标准方法</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按照投标文件、采购合同、质量标准等，组织对医疗设备进行质量验收，出具验收报告。验收过程中对于核心参数存疑需检测的，可要求委托地方具有相应检测能力的机构提供技术支持。</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rPr>
                <w:rFonts w:hint="eastAsia" w:ascii="黑体" w:hAnsi="宋体" w:eastAsia="黑体" w:cs="黑体"/>
                <w:sz w:val="20"/>
              </w:rPr>
            </w:pPr>
            <w:r>
              <w:rPr>
                <w:rFonts w:hint="eastAsia" w:ascii="黑体" w:hAnsi="宋体" w:eastAsia="黑体" w:cs="黑体"/>
                <w:sz w:val="20"/>
              </w:rPr>
              <w:t>企业承诺</w:t>
            </w:r>
          </w:p>
        </w:tc>
      </w:tr>
      <w:tr>
        <w:tblPrEx>
          <w:tblCellMar>
            <w:top w:w="0" w:type="dxa"/>
            <w:left w:w="108" w:type="dxa"/>
            <w:bottom w:w="0" w:type="dxa"/>
            <w:right w:w="108" w:type="dxa"/>
          </w:tblCellMar>
        </w:tblPrEx>
        <w:trPr>
          <w:trHeight w:val="500" w:hRule="atLeast"/>
        </w:trPr>
        <w:tc>
          <w:tcPr>
            <w:tcW w:w="9060" w:type="dxa"/>
            <w:gridSpan w:val="7"/>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 xml:space="preserve">经济要求 </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sz w:val="20"/>
              </w:rPr>
              <w:t>1</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交货时间、交货地点</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sz w:val="20"/>
              </w:rPr>
            </w:pPr>
            <w:r>
              <w:rPr>
                <w:rFonts w:hint="eastAsia" w:ascii="黑体" w:hAnsi="宋体" w:eastAsia="黑体" w:cs="黑体"/>
                <w:kern w:val="0"/>
                <w:sz w:val="20"/>
                <w:lang w:bidi="ar"/>
              </w:rPr>
              <w:t>合同签订后12个月内交付，交付地点由甲方指定。</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lang w:bidi="ar"/>
              </w:rPr>
            </w:pPr>
            <w:r>
              <w:rPr>
                <w:rFonts w:hint="eastAsia" w:ascii="黑体" w:hAnsi="黑体" w:eastAsia="黑体" w:cs="黑体"/>
                <w:sz w:val="20"/>
                <w:lang w:bidi="ar"/>
              </w:rPr>
              <w:t>2</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付款及结算方式</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sz w:val="20"/>
              </w:rPr>
            </w:pPr>
            <w:r>
              <w:rPr>
                <w:rFonts w:hint="eastAsia" w:ascii="黑体" w:hAnsi="宋体" w:eastAsia="黑体" w:cs="黑体"/>
                <w:kern w:val="0"/>
                <w:sz w:val="20"/>
                <w:lang w:bidi="ar"/>
              </w:rPr>
              <w:t>签订合同物资到货验收后付95%。</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履约保证金/质量保证金</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验收合格后满1年无质量问题支付剩余5%（不超过5%）</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sz w:val="20"/>
              </w:rPr>
              <w:t>4</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产品包装和运输要求</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按照国家、行业相关标准规范，产品确保包装完好，运输确保不对产品造成损伤。</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sz w:val="20"/>
              </w:rPr>
              <w:t>5</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售后服务1</w:t>
            </w:r>
          </w:p>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sz w:val="20"/>
              </w:rPr>
            </w:pPr>
            <w:r>
              <w:rPr>
                <w:rFonts w:hint="eastAsia" w:ascii="黑体" w:hAnsi="宋体" w:eastAsia="黑体" w:cs="黑体"/>
                <w:kern w:val="0"/>
                <w:sz w:val="20"/>
                <w:lang w:bidi="ar"/>
              </w:rPr>
              <w:t>保修年限不低于3年，全年故障停机时间不高于5%（按365日/年计算)。</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原厂授权</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sz w:val="20"/>
              </w:rPr>
              <w:t>6</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售后服务2</w:t>
            </w:r>
          </w:p>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sz w:val="20"/>
              </w:rPr>
            </w:pPr>
            <w:r>
              <w:rPr>
                <w:rFonts w:hint="eastAsia" w:ascii="黑体" w:hAnsi="宋体" w:eastAsia="黑体" w:cs="黑体"/>
                <w:kern w:val="0"/>
                <w:sz w:val="20"/>
                <w:lang w:bidi="ar"/>
              </w:rPr>
              <w:t>保修期内免费提供定期维护保养服务，免费升级和维护软件，免费提供使用培训。</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7</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售后服务3</w:t>
            </w:r>
          </w:p>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提供不少于10人次、10天的工程师维修培训。</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sz w:val="20"/>
              </w:rPr>
              <w:t>8</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售后服务4</w:t>
            </w:r>
            <w:r>
              <w:rPr>
                <w:rFonts w:hint="eastAsia" w:ascii="黑体" w:hAnsi="黑体" w:eastAsia="黑体" w:cs="黑体"/>
                <w:kern w:val="0"/>
                <w:sz w:val="20"/>
                <w:lang w:bidi="ar"/>
              </w:rPr>
              <w:br w:type="textWrapping"/>
            </w:r>
            <w:r>
              <w:rPr>
                <w:rFonts w:hint="eastAsia" w:ascii="黑体" w:hAnsi="黑体" w:eastAsia="黑体" w:cs="黑体"/>
                <w:kern w:val="0"/>
                <w:sz w:val="20"/>
                <w:lang w:bidi="ar"/>
              </w:rPr>
              <w:t>（响应时间）</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sz w:val="20"/>
              </w:rPr>
            </w:pPr>
            <w:r>
              <w:rPr>
                <w:rFonts w:hint="eastAsia" w:ascii="黑体" w:hAnsi="宋体" w:eastAsia="黑体" w:cs="黑体"/>
                <w:kern w:val="0"/>
                <w:sz w:val="20"/>
                <w:lang w:bidi="ar"/>
              </w:rPr>
              <w:t>维修响应时间≤24小时，维修到达现场时间≤48小时。</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9</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备品备件要求（零配件）</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由供应商承诺项目使用寿命周期内保证零配件供应。</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10</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专用工具</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设备应提供的配套专修工具和使用工具。</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企业承诺</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sz w:val="20"/>
              </w:rPr>
              <w:t>11</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保密要求</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sz w:val="20"/>
              </w:rPr>
            </w:pPr>
            <w:r>
              <w:rPr>
                <w:rFonts w:hint="eastAsia" w:ascii="黑体" w:hAnsi="宋体" w:eastAsia="黑体" w:cs="黑体"/>
                <w:kern w:val="0"/>
                <w:sz w:val="20"/>
                <w:lang w:bidi="ar"/>
              </w:rPr>
              <w:t>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sz w:val="20"/>
              </w:rPr>
              <w:t>12</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知识产权</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报价供应商应当保证采购单位在使用该物资或其任何一部分时，不受第三方侵权指控。同时，报价供应商不得向第三方泄露采购机构提供的技术文件等材料。基于项目合同履行形成的知识产权和其他权益，其权属归采购单位所有，法律另有规定的除外。</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专利证书</w:t>
            </w:r>
          </w:p>
        </w:tc>
      </w:tr>
      <w:tr>
        <w:tblPrEx>
          <w:tblCellMar>
            <w:top w:w="0" w:type="dxa"/>
            <w:left w:w="108" w:type="dxa"/>
            <w:bottom w:w="0" w:type="dxa"/>
            <w:right w:w="108" w:type="dxa"/>
          </w:tblCellMar>
        </w:tblPrEx>
        <w:trPr>
          <w:trHeight w:val="96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13</w:t>
            </w:r>
          </w:p>
        </w:tc>
        <w:tc>
          <w:tcPr>
            <w:tcW w:w="1389"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物资编目编码、打码贴签要求</w:t>
            </w:r>
          </w:p>
        </w:tc>
        <w:tc>
          <w:tcPr>
            <w:tcW w:w="804"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0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left"/>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本项目物资应编目编码、打码贴签要求，报价供应商应当予以明确响应，相关费用包含在报价中。</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企业承诺</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2047A4"/>
    <w:multiLevelType w:val="singleLevel"/>
    <w:tmpl w:val="A02047A4"/>
    <w:lvl w:ilvl="0" w:tentative="0">
      <w:start w:val="1"/>
      <w:numFmt w:val="decimal"/>
      <w:suff w:val="nothing"/>
      <w:lvlText w:val="（%1）"/>
      <w:lvlJc w:val="left"/>
      <w:pPr>
        <w:ind w:left="0" w:firstLine="57"/>
      </w:pPr>
      <w:rPr>
        <w:rFonts w:hint="default"/>
      </w:rPr>
    </w:lvl>
  </w:abstractNum>
  <w:abstractNum w:abstractNumId="1">
    <w:nsid w:val="F10C84D9"/>
    <w:multiLevelType w:val="singleLevel"/>
    <w:tmpl w:val="F10C84D9"/>
    <w:lvl w:ilvl="0" w:tentative="0">
      <w:start w:val="1"/>
      <w:numFmt w:val="decimal"/>
      <w:suff w:val="nothing"/>
      <w:lvlText w:val="（%1）"/>
      <w:lvlJc w:val="left"/>
      <w:pPr>
        <w:ind w:left="0" w:firstLine="57"/>
      </w:pPr>
      <w:rPr>
        <w:rFonts w:hint="default"/>
      </w:rPr>
    </w:lvl>
  </w:abstractNum>
  <w:abstractNum w:abstractNumId="2">
    <w:nsid w:val="3EEA7F61"/>
    <w:multiLevelType w:val="singleLevel"/>
    <w:tmpl w:val="3EEA7F61"/>
    <w:lvl w:ilvl="0" w:tentative="0">
      <w:start w:val="1"/>
      <w:numFmt w:val="decimal"/>
      <w:suff w:val="nothing"/>
      <w:lvlText w:val="（%1）"/>
      <w:lvlJc w:val="left"/>
      <w:pPr>
        <w:ind w:left="0" w:firstLine="57"/>
      </w:pPr>
      <w:rPr>
        <w:rFonts w:hint="default"/>
      </w:rPr>
    </w:lvl>
  </w:abstractNum>
  <w:abstractNum w:abstractNumId="3">
    <w:nsid w:val="439EBFDC"/>
    <w:multiLevelType w:val="singleLevel"/>
    <w:tmpl w:val="439EBFDC"/>
    <w:lvl w:ilvl="0" w:tentative="0">
      <w:start w:val="1"/>
      <w:numFmt w:val="decimal"/>
      <w:suff w:val="nothing"/>
      <w:lvlText w:val="（%1）"/>
      <w:lvlJc w:val="left"/>
      <w:pPr>
        <w:ind w:left="0" w:firstLine="57"/>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21C"/>
    <w:rsid w:val="000A6917"/>
    <w:rsid w:val="000B0136"/>
    <w:rsid w:val="001A5FF5"/>
    <w:rsid w:val="001F4414"/>
    <w:rsid w:val="00237A9B"/>
    <w:rsid w:val="0026485C"/>
    <w:rsid w:val="00291022"/>
    <w:rsid w:val="00291385"/>
    <w:rsid w:val="00342272"/>
    <w:rsid w:val="00346501"/>
    <w:rsid w:val="00366B17"/>
    <w:rsid w:val="003E7076"/>
    <w:rsid w:val="003F5C66"/>
    <w:rsid w:val="00402207"/>
    <w:rsid w:val="0040550D"/>
    <w:rsid w:val="00520D69"/>
    <w:rsid w:val="00521243"/>
    <w:rsid w:val="00581E04"/>
    <w:rsid w:val="007226E0"/>
    <w:rsid w:val="00727FF6"/>
    <w:rsid w:val="00762E87"/>
    <w:rsid w:val="0086573E"/>
    <w:rsid w:val="008875AD"/>
    <w:rsid w:val="008F4553"/>
    <w:rsid w:val="00941294"/>
    <w:rsid w:val="0094607C"/>
    <w:rsid w:val="00953316"/>
    <w:rsid w:val="00957404"/>
    <w:rsid w:val="00972849"/>
    <w:rsid w:val="009C321E"/>
    <w:rsid w:val="009C5EED"/>
    <w:rsid w:val="009E2D1E"/>
    <w:rsid w:val="009F54F0"/>
    <w:rsid w:val="00A0760C"/>
    <w:rsid w:val="00A44F97"/>
    <w:rsid w:val="00A8497C"/>
    <w:rsid w:val="00AF4C1F"/>
    <w:rsid w:val="00B00620"/>
    <w:rsid w:val="00B133C0"/>
    <w:rsid w:val="00B2445A"/>
    <w:rsid w:val="00B66125"/>
    <w:rsid w:val="00B9521C"/>
    <w:rsid w:val="00BD4BE3"/>
    <w:rsid w:val="00BD7BCD"/>
    <w:rsid w:val="00BF18AA"/>
    <w:rsid w:val="00BF6606"/>
    <w:rsid w:val="00C41C00"/>
    <w:rsid w:val="00C748AE"/>
    <w:rsid w:val="00C752E3"/>
    <w:rsid w:val="00CB729B"/>
    <w:rsid w:val="00CB7E31"/>
    <w:rsid w:val="00CD22F6"/>
    <w:rsid w:val="00D44F3A"/>
    <w:rsid w:val="00D57035"/>
    <w:rsid w:val="00DC50EB"/>
    <w:rsid w:val="00DD2B27"/>
    <w:rsid w:val="00DE2459"/>
    <w:rsid w:val="00E050C8"/>
    <w:rsid w:val="00E6430A"/>
    <w:rsid w:val="00EB3AA4"/>
    <w:rsid w:val="00F470CA"/>
    <w:rsid w:val="00F74BAA"/>
    <w:rsid w:val="24A328F9"/>
    <w:rsid w:val="686F6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spacing w:after="160" w:line="278" w:lineRule="auto"/>
    </w:pPr>
    <w:rPr>
      <w:rFonts w:hint="eastAsia" w:ascii="黑体" w:hAnsi="黑体" w:eastAsia="黑体" w:cs="Times New Roman"/>
      <w:color w:val="000000"/>
      <w:sz w:val="24"/>
      <w:szCs w:val="22"/>
      <w:lang w:val="en-US" w:eastAsia="zh-CN" w:bidi="ar-SA"/>
    </w:rPr>
  </w:style>
  <w:style w:type="paragraph" w:styleId="3">
    <w:name w:val="Body Text Indent"/>
    <w:basedOn w:val="1"/>
    <w:qFormat/>
    <w:uiPriority w:val="0"/>
    <w:pPr>
      <w:spacing w:line="400" w:lineRule="exact"/>
      <w:ind w:firstLine="600" w:firstLineChars="200"/>
    </w:pPr>
    <w:rPr>
      <w:rFonts w:ascii="仿宋_GB2312" w:eastAsia="仿宋_GB2312"/>
      <w:sz w:val="30"/>
    </w:rPr>
  </w:style>
  <w:style w:type="paragraph" w:styleId="4">
    <w:name w:val="footer"/>
    <w:basedOn w:val="1"/>
    <w:uiPriority w:val="99"/>
    <w:pPr>
      <w:tabs>
        <w:tab w:val="center" w:pos="4153"/>
        <w:tab w:val="right" w:pos="8306"/>
      </w:tabs>
      <w:snapToGrid w:val="0"/>
      <w:jc w:val="left"/>
    </w:pPr>
    <w:rPr>
      <w:sz w:val="18"/>
      <w:szCs w:val="18"/>
    </w:rPr>
  </w:style>
  <w:style w:type="paragraph" w:styleId="5">
    <w:name w:val="header"/>
    <w:basedOn w:val="1"/>
    <w:link w:val="9"/>
    <w:uiPriority w:val="0"/>
    <w:pPr>
      <w:tabs>
        <w:tab w:val="center" w:pos="4153"/>
        <w:tab w:val="right" w:pos="8306"/>
      </w:tabs>
      <w:snapToGrid w:val="0"/>
      <w:spacing w:line="240" w:lineRule="auto"/>
      <w:jc w:val="center"/>
    </w:pPr>
    <w:rPr>
      <w:sz w:val="18"/>
      <w:szCs w:val="18"/>
    </w:rPr>
  </w:style>
  <w:style w:type="character" w:customStyle="1" w:styleId="8">
    <w:name w:val="font111"/>
    <w:basedOn w:val="7"/>
    <w:qFormat/>
    <w:uiPriority w:val="0"/>
    <w:rPr>
      <w:rFonts w:hint="eastAsia" w:ascii="黑体" w:hAnsi="宋体" w:eastAsia="黑体" w:cs="黑体"/>
      <w:i/>
      <w:iCs/>
      <w:color w:val="000000"/>
      <w:sz w:val="20"/>
      <w:szCs w:val="20"/>
      <w:u w:val="none"/>
    </w:rPr>
  </w:style>
  <w:style w:type="character" w:customStyle="1" w:styleId="9">
    <w:name w:val="页眉 字符"/>
    <w:basedOn w:val="7"/>
    <w:link w:val="5"/>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1996</Words>
  <Characters>2176</Characters>
  <Lines>241</Lines>
  <Paragraphs>297</Paragraphs>
  <TotalTime>1</TotalTime>
  <ScaleCrop>false</ScaleCrop>
  <LinksUpToDate>false</LinksUpToDate>
  <CharactersWithSpaces>3875</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2026-03-11T06:49:00Z</dcterms:created>
  <dc:creator>DOCTOR</dc:creator>
  <cp:lastModifiedBy>Lenovo</cp:lastModifiedBy>
  <dcterms:modified xsi:type="dcterms:W3CDTF">2026-04-10T00:24:51Z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