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184" w:beforeLines="50" w:after="184" w:afterLines="50" w:line="572" w:lineRule="exact"/>
        <w:ind w:firstLine="2640" w:firstLineChars="600"/>
        <w:rPr>
          <w:rFonts w:hint="eastAsia" w:ascii="黑体" w:hAnsi="黑体" w:eastAsia="黑体" w:cs="方正小标宋简体"/>
          <w:kern w:val="0"/>
          <w:sz w:val="28"/>
          <w:szCs w:val="28"/>
        </w:rPr>
      </w:pPr>
      <w:r>
        <w:rPr>
          <w:rFonts w:hint="eastAsia" w:ascii="黑体" w:hAnsi="黑体" w:eastAsia="黑体" w:cs="宋体"/>
          <w:kern w:val="0"/>
          <w:sz w:val="44"/>
          <w:szCs w:val="44"/>
        </w:rPr>
        <w:t>采</w:t>
      </w:r>
      <w:r>
        <w:rPr>
          <w:rFonts w:hint="eastAsia" w:ascii="黑体" w:hAnsi="黑体" w:eastAsia="黑体" w:cs="方正小标宋简体"/>
          <w:kern w:val="0"/>
          <w:sz w:val="44"/>
          <w:szCs w:val="44"/>
        </w:rPr>
        <w:t>购需求表（物资类）</w:t>
      </w:r>
    </w:p>
    <w:tbl>
      <w:tblPr>
        <w:tblStyle w:val="7"/>
        <w:tblW w:w="9731" w:type="dxa"/>
        <w:tblInd w:w="0" w:type="dxa"/>
        <w:tblLayout w:type="fixed"/>
        <w:tblCellMar>
          <w:top w:w="0" w:type="dxa"/>
          <w:left w:w="108" w:type="dxa"/>
          <w:bottom w:w="0" w:type="dxa"/>
          <w:right w:w="108" w:type="dxa"/>
        </w:tblCellMar>
      </w:tblPr>
      <w:tblGrid>
        <w:gridCol w:w="655"/>
        <w:gridCol w:w="1235"/>
        <w:gridCol w:w="720"/>
        <w:gridCol w:w="91"/>
        <w:gridCol w:w="1095"/>
        <w:gridCol w:w="2115"/>
        <w:gridCol w:w="1192"/>
        <w:gridCol w:w="16"/>
        <w:gridCol w:w="711"/>
        <w:gridCol w:w="16"/>
        <w:gridCol w:w="1869"/>
        <w:gridCol w:w="16"/>
      </w:tblGrid>
      <w:tr>
        <w:tblPrEx>
          <w:tblCellMar>
            <w:top w:w="0" w:type="dxa"/>
            <w:left w:w="108" w:type="dxa"/>
            <w:bottom w:w="0" w:type="dxa"/>
            <w:right w:w="108" w:type="dxa"/>
          </w:tblCellMar>
        </w:tblPrEx>
        <w:trPr>
          <w:trHeight w:val="500" w:hRule="atLeast"/>
        </w:trPr>
        <w:tc>
          <w:tcPr>
            <w:tcW w:w="3796"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项目名称</w:t>
            </w:r>
          </w:p>
        </w:tc>
        <w:tc>
          <w:tcPr>
            <w:tcW w:w="211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szCs w:val="20"/>
              </w:rPr>
            </w:pPr>
            <w:r>
              <w:rPr>
                <w:rFonts w:hint="eastAsia" w:ascii="黑体" w:hAnsi="宋体" w:eastAsia="黑体" w:cs="黑体"/>
                <w:sz w:val="20"/>
                <w:szCs w:val="20"/>
              </w:rPr>
              <w:t>细胞分析仪</w:t>
            </w:r>
          </w:p>
        </w:tc>
        <w:tc>
          <w:tcPr>
            <w:tcW w:w="120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最高限价（万元）</w:t>
            </w:r>
          </w:p>
        </w:tc>
        <w:tc>
          <w:tcPr>
            <w:tcW w:w="2612"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黑体" w:hAnsi="宋体" w:eastAsia="黑体" w:cs="黑体"/>
                <w:sz w:val="20"/>
                <w:szCs w:val="20"/>
              </w:rPr>
            </w:pPr>
            <w:r>
              <w:rPr>
                <w:rFonts w:hint="eastAsia" w:ascii="黑体" w:hAnsi="宋体" w:eastAsia="黑体" w:cs="黑体"/>
                <w:sz w:val="20"/>
                <w:szCs w:val="20"/>
              </w:rPr>
              <w:t>34.00</w:t>
            </w:r>
          </w:p>
        </w:tc>
      </w:tr>
      <w:tr>
        <w:tblPrEx>
          <w:tblCellMar>
            <w:top w:w="0" w:type="dxa"/>
            <w:left w:w="108" w:type="dxa"/>
            <w:bottom w:w="0" w:type="dxa"/>
            <w:right w:w="108" w:type="dxa"/>
          </w:tblCellMar>
        </w:tblPrEx>
        <w:trPr>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序号</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szCs w:val="20"/>
              </w:rPr>
            </w:pPr>
            <w:r>
              <w:rPr>
                <w:rFonts w:hint="eastAsia" w:ascii="黑体" w:hAnsi="宋体" w:eastAsia="黑体" w:cs="黑体"/>
                <w:kern w:val="0"/>
                <w:sz w:val="20"/>
                <w:szCs w:val="20"/>
              </w:rPr>
              <w:t>需求名称</w:t>
            </w:r>
          </w:p>
        </w:tc>
        <w:tc>
          <w:tcPr>
            <w:tcW w:w="811"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szCs w:val="20"/>
              </w:rPr>
            </w:pPr>
            <w:r>
              <w:rPr>
                <w:rFonts w:hint="eastAsia" w:ascii="黑体" w:hAnsi="宋体" w:eastAsia="黑体" w:cs="黑体"/>
                <w:kern w:val="0"/>
                <w:sz w:val="20"/>
                <w:szCs w:val="20"/>
              </w:rPr>
              <w:t>参数</w:t>
            </w:r>
          </w:p>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性质</w:t>
            </w:r>
          </w:p>
        </w:tc>
        <w:tc>
          <w:tcPr>
            <w:tcW w:w="4418"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需求具体内容</w:t>
            </w:r>
          </w:p>
        </w:tc>
        <w:tc>
          <w:tcPr>
            <w:tcW w:w="727" w:type="dxa"/>
            <w:gridSpan w:val="2"/>
            <w:tcBorders>
              <w:top w:val="single" w:color="000000" w:sz="4" w:space="0"/>
              <w:left w:val="single" w:color="000000" w:sz="4" w:space="0"/>
              <w:bottom w:val="nil"/>
              <w:right w:val="single" w:color="000000" w:sz="4" w:space="0"/>
            </w:tcBorders>
            <w:vAlign w:val="center"/>
          </w:tcPr>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是否</w:t>
            </w:r>
            <w:r>
              <w:rPr>
                <w:rFonts w:ascii="黑体" w:hAnsi="宋体" w:eastAsia="黑体" w:cs="黑体"/>
                <w:kern w:val="0"/>
                <w:sz w:val="20"/>
                <w:szCs w:val="20"/>
              </w:rPr>
              <w:br w:type="textWrapping"/>
            </w:r>
            <w:r>
              <w:rPr>
                <w:rFonts w:hint="eastAsia" w:ascii="黑体" w:hAnsi="宋体" w:eastAsia="黑体" w:cs="黑体"/>
                <w:kern w:val="0"/>
                <w:sz w:val="20"/>
                <w:szCs w:val="20"/>
              </w:rPr>
              <w:t>量化</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sz w:val="20"/>
                <w:szCs w:val="20"/>
              </w:rPr>
            </w:pPr>
            <w:r>
              <w:rPr>
                <w:rFonts w:hint="eastAsia" w:ascii="黑体" w:hAnsi="宋体" w:eastAsia="黑体" w:cs="黑体"/>
                <w:kern w:val="0"/>
                <w:sz w:val="20"/>
                <w:szCs w:val="20"/>
              </w:rPr>
              <w:t>备注（证明材料等其他要求）</w:t>
            </w:r>
          </w:p>
        </w:tc>
      </w:tr>
      <w:tr>
        <w:tblPrEx>
          <w:tblCellMar>
            <w:top w:w="0" w:type="dxa"/>
            <w:left w:w="108" w:type="dxa"/>
            <w:bottom w:w="0" w:type="dxa"/>
            <w:right w:w="108" w:type="dxa"/>
          </w:tblCellMar>
        </w:tblPrEx>
        <w:trPr>
          <w:gridAfter w:val="1"/>
          <w:wAfter w:w="16" w:type="dxa"/>
          <w:trHeight w:val="500" w:hRule="atLeast"/>
        </w:trPr>
        <w:tc>
          <w:tcPr>
            <w:tcW w:w="9715" w:type="dxa"/>
            <w:gridSpan w:val="11"/>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kern w:val="0"/>
                <w:sz w:val="20"/>
                <w:szCs w:val="20"/>
              </w:rPr>
            </w:pPr>
            <w:r>
              <w:rPr>
                <w:rFonts w:hint="eastAsia" w:ascii="宋体" w:hAnsi="宋体" w:cs="宋体"/>
                <w:b/>
                <w:bCs/>
                <w:kern w:val="0"/>
                <w:sz w:val="20"/>
                <w:szCs w:val="20"/>
              </w:rPr>
              <w:t>技术要求</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2"/>
                <w:szCs w:val="22"/>
                <w:lang w:bidi="ar"/>
              </w:rPr>
              <w:t>1</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基本要求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4"/>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2"/>
                <w:szCs w:val="22"/>
                <w:lang w:bidi="ar"/>
              </w:rPr>
              <w:t>在短时间内检测大量细胞，对同一个细胞进行多参数定量分析，不仅可以测量细 胞大小、内部颗粒的性状，还可以检测细胞表面和胞浆及胞核内抗原、细胞内核酸含量等性能指标。</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2"/>
                <w:szCs w:val="22"/>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2"/>
                <w:szCs w:val="22"/>
                <w:lang w:bidi="ar"/>
              </w:rPr>
              <w:t>技术白皮书或说明书或彩页</w:t>
            </w:r>
          </w:p>
        </w:tc>
      </w:tr>
      <w:tr>
        <w:tblPrEx>
          <w:tblCellMar>
            <w:top w:w="0" w:type="dxa"/>
            <w:left w:w="108" w:type="dxa"/>
            <w:bottom w:w="0" w:type="dxa"/>
            <w:right w:w="108" w:type="dxa"/>
          </w:tblCellMar>
        </w:tblPrEx>
        <w:trPr>
          <w:gridAfter w:val="1"/>
          <w:wAfter w:w="16" w:type="dxa"/>
          <w:trHeight w:val="586"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2"/>
                <w:szCs w:val="22"/>
                <w:lang w:bidi="ar"/>
              </w:rPr>
              <w:t>2</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资质认证</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4"/>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2"/>
                <w:szCs w:val="22"/>
                <w:lang w:bidi="ar"/>
              </w:rPr>
              <w:t>具备CE认证</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2"/>
                <w:szCs w:val="22"/>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2"/>
                <w:szCs w:val="22"/>
                <w:lang w:bidi="ar"/>
              </w:rPr>
              <w:t>提供CE认证证书</w:t>
            </w:r>
          </w:p>
        </w:tc>
      </w:tr>
      <w:tr>
        <w:tblPrEx>
          <w:tblCellMar>
            <w:top w:w="0" w:type="dxa"/>
            <w:left w:w="108" w:type="dxa"/>
            <w:bottom w:w="0" w:type="dxa"/>
            <w:right w:w="108" w:type="dxa"/>
          </w:tblCellMar>
        </w:tblPrEx>
        <w:trPr>
          <w:gridAfter w:val="1"/>
          <w:wAfter w:w="16" w:type="dxa"/>
          <w:trHeight w:val="519"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kern w:val="0"/>
                <w:sz w:val="20"/>
                <w:szCs w:val="20"/>
              </w:rPr>
            </w:pPr>
            <w:r>
              <w:rPr>
                <w:rFonts w:hint="eastAsia" w:ascii="宋体" w:hAnsi="宋体" w:cs="宋体"/>
                <w:kern w:val="0"/>
                <w:sz w:val="20"/>
                <w:szCs w:val="20"/>
              </w:rPr>
              <w:t>3</w:t>
            </w:r>
          </w:p>
        </w:tc>
        <w:tc>
          <w:tcPr>
            <w:tcW w:w="9060" w:type="dxa"/>
            <w:gridSpan w:val="10"/>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cs="宋体"/>
                <w:kern w:val="0"/>
                <w:sz w:val="20"/>
                <w:szCs w:val="20"/>
              </w:rPr>
            </w:pPr>
            <w:r>
              <w:rPr>
                <w:rFonts w:hint="eastAsia" w:ascii="宋体" w:hAnsi="宋体" w:cs="宋体"/>
                <w:b/>
                <w:bCs/>
                <w:kern w:val="0"/>
                <w:sz w:val="20"/>
                <w:szCs w:val="20"/>
              </w:rPr>
              <w:t>技术和性能参数</w:t>
            </w:r>
          </w:p>
        </w:tc>
      </w:tr>
      <w:tr>
        <w:tblPrEx>
          <w:tblCellMar>
            <w:top w:w="0" w:type="dxa"/>
            <w:left w:w="108" w:type="dxa"/>
            <w:bottom w:w="0" w:type="dxa"/>
            <w:right w:w="108" w:type="dxa"/>
          </w:tblCellMar>
        </w:tblPrEx>
        <w:trPr>
          <w:gridAfter w:val="1"/>
          <w:wAfter w:w="16" w:type="dxa"/>
          <w:trHeight w:val="92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3.1</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光学系统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仪器至少配置488nm蓝色激光器和638nm激光器。两根激光器可同时开启并同时使用，并且每个光路有独立的光路，不接受光路共线。支持后期升级到3激光13色</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3.2</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检测参数</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可以同时检测≥10个参数，包括≥8个荧光参数、SSC和FSC，荧光通道包含：蓝色激光器: 525/40, 585/42, 610/20, 690/50 ,780/60；红色激光器: 660/10, 712/25 , 780/60 ；</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3.3</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流动室数值孔径</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≥1.3 NA；</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3.4</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检测器</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采用光纤传导的雪崩二极管检测器阵列（APD），而非检测效率低的PMT检测器</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3.5</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光路系统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通过波分复用器（WDM）收集及分离光信号，仅使用带通滤光片，有效将光信号传递至检测器</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3.6</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荧光灵敏度</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FITC≤30 MESF，PE≤10 MESF。</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国家计量机构出具的检测报告</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3.7</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自动计算功能</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无需微球的绝对计数功能，在检测的同时即可自动计算样本浓度，结果准确；</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3.8</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电子系统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高达10</w:t>
            </w:r>
            <w:r>
              <w:rPr>
                <w:rFonts w:hint="eastAsia" w:ascii="宋体" w:hAnsi="宋体" w:cs="宋体"/>
                <w:color w:val="000000"/>
                <w:kern w:val="0"/>
                <w:sz w:val="20"/>
                <w:szCs w:val="20"/>
                <w:vertAlign w:val="superscript"/>
                <w:lang w:bidi="ar"/>
              </w:rPr>
              <w:t>7</w:t>
            </w:r>
            <w:r>
              <w:rPr>
                <w:rFonts w:hint="eastAsia" w:ascii="宋体" w:hAnsi="宋体" w:cs="宋体"/>
                <w:color w:val="000000"/>
                <w:kern w:val="0"/>
                <w:sz w:val="20"/>
                <w:szCs w:val="20"/>
                <w:lang w:bidi="ar"/>
              </w:rPr>
              <w:t>的线性动态范围，可以将强信号和弱信号都完全显示在一张图上；</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3.9</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荧光信号采集</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kern w:val="0"/>
                <w:sz w:val="20"/>
                <w:szCs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支持多色荧光信号共同采集，检测速度≥30,000事件/秒；</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 xml:space="preserve">3.10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数据存储</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至少具有2000万Events的数据存储能力。</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3.11</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信号处理精度</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kern w:val="0"/>
                <w:sz w:val="20"/>
                <w:szCs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≥7个十进制的数据显示，24bit及16,777,216道分辨率的全数字系统；</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 xml:space="preserve">3.12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液流驱动方式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采用正压泵或超低压蠕动泵驱动液流上样确保上样液流连续稳定无断点，非注射泵驱动液流上样。</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3.13</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上样速度</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具有10</w:t>
            </w:r>
            <w:r>
              <w:rPr>
                <w:rStyle w:val="24"/>
                <w:rFonts w:hint="eastAsia" w:ascii="宋体" w:hAnsi="宋体" w:cs="宋体"/>
                <w:sz w:val="20"/>
                <w:szCs w:val="20"/>
                <w:lang w:bidi="ar"/>
              </w:rPr>
              <w:t>μ</w:t>
            </w:r>
            <w:r>
              <w:rPr>
                <w:rFonts w:hint="eastAsia" w:ascii="宋体" w:hAnsi="宋体" w:cs="宋体"/>
                <w:color w:val="000000"/>
                <w:kern w:val="0"/>
                <w:sz w:val="20"/>
                <w:szCs w:val="20"/>
                <w:lang w:bidi="ar"/>
              </w:rPr>
              <w:t>L、30</w:t>
            </w:r>
            <w:r>
              <w:rPr>
                <w:rStyle w:val="24"/>
                <w:rFonts w:hint="eastAsia" w:ascii="宋体" w:hAnsi="宋体" w:cs="宋体"/>
                <w:sz w:val="20"/>
                <w:szCs w:val="20"/>
                <w:lang w:bidi="ar"/>
              </w:rPr>
              <w:t>μ</w:t>
            </w:r>
            <w:r>
              <w:rPr>
                <w:rFonts w:hint="eastAsia" w:ascii="宋体" w:hAnsi="宋体" w:cs="宋体"/>
                <w:color w:val="000000"/>
                <w:kern w:val="0"/>
                <w:sz w:val="20"/>
                <w:szCs w:val="20"/>
                <w:lang w:bidi="ar"/>
              </w:rPr>
              <w:t xml:space="preserve">L、60 </w:t>
            </w:r>
            <w:r>
              <w:rPr>
                <w:rStyle w:val="24"/>
                <w:rFonts w:hint="eastAsia" w:ascii="宋体" w:hAnsi="宋体" w:cs="宋体"/>
                <w:sz w:val="20"/>
                <w:szCs w:val="20"/>
                <w:lang w:bidi="ar"/>
              </w:rPr>
              <w:t>μ</w:t>
            </w:r>
            <w:r>
              <w:rPr>
                <w:rFonts w:hint="eastAsia" w:ascii="宋体" w:hAnsi="宋体" w:cs="宋体"/>
                <w:color w:val="000000"/>
                <w:kern w:val="0"/>
                <w:sz w:val="20"/>
                <w:szCs w:val="20"/>
                <w:lang w:bidi="ar"/>
              </w:rPr>
              <w:t xml:space="preserve">L/min三种固定流速，用户可自定义流速控制模式范围：10-240 </w:t>
            </w:r>
            <w:r>
              <w:rPr>
                <w:rStyle w:val="24"/>
                <w:rFonts w:hint="eastAsia" w:ascii="宋体" w:hAnsi="宋体" w:cs="宋体"/>
                <w:sz w:val="20"/>
                <w:szCs w:val="20"/>
                <w:lang w:bidi="ar"/>
              </w:rPr>
              <w:t>μ</w:t>
            </w:r>
            <w:r>
              <w:rPr>
                <w:rFonts w:hint="eastAsia" w:ascii="宋体" w:hAnsi="宋体" w:cs="宋体"/>
                <w:color w:val="000000"/>
                <w:kern w:val="0"/>
                <w:sz w:val="20"/>
                <w:szCs w:val="20"/>
                <w:lang w:bidi="ar"/>
              </w:rPr>
              <w:t xml:space="preserve">L/min，按照1 </w:t>
            </w:r>
            <w:r>
              <w:rPr>
                <w:rStyle w:val="24"/>
                <w:rFonts w:hint="eastAsia" w:ascii="宋体" w:hAnsi="宋体" w:cs="宋体"/>
                <w:sz w:val="20"/>
                <w:szCs w:val="20"/>
                <w:lang w:bidi="ar"/>
              </w:rPr>
              <w:t>μ</w:t>
            </w:r>
            <w:r>
              <w:rPr>
                <w:rFonts w:hint="eastAsia" w:ascii="宋体" w:hAnsi="宋体" w:cs="宋体"/>
                <w:color w:val="000000"/>
                <w:kern w:val="0"/>
                <w:sz w:val="20"/>
                <w:szCs w:val="20"/>
                <w:lang w:bidi="ar"/>
              </w:rPr>
              <w:t>L增量调节；</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 xml:space="preserve">3.14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自动单管上样</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kern w:val="0"/>
                <w:sz w:val="20"/>
                <w:szCs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可使用标准流式管、1.5ml 和2.0ml EP管；</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3.15</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自动化上样系统</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kern w:val="0"/>
                <w:sz w:val="20"/>
                <w:szCs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具有自动混匀和自动清洗功能，降低样本间交叉污染；</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 xml:space="preserve">3.16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操作系统</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软件支持中英文操作界面，安装无版权限制，可以任意次数安装。</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3.17</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补偿功能</w:t>
            </w:r>
          </w:p>
        </w:tc>
        <w:tc>
          <w:tcPr>
            <w:tcW w:w="7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kern w:val="0"/>
                <w:sz w:val="20"/>
                <w:szCs w:val="20"/>
              </w:rPr>
            </w:pP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可以实现自动补偿和手动补偿，具有创新型补偿数据库：存储染料的荧光溢出值，随着增益的变化，准确、轻松地调节补偿矩阵；</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技术白皮书</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说明书或彩页</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 xml:space="preserve">3.18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eastAsia="宋体" w:cs="宋体"/>
                <w:kern w:val="0"/>
                <w:sz w:val="20"/>
                <w:szCs w:val="20"/>
                <w:lang w:val="en-US" w:eastAsia="zh-CN"/>
              </w:rPr>
              <w:t>配置要求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主机一台、工作站一套、软件一套、装机试剂一套</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kern w:val="0"/>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500" w:hRule="atLeast"/>
        </w:trPr>
        <w:tc>
          <w:tcPr>
            <w:tcW w:w="9715" w:type="dxa"/>
            <w:gridSpan w:val="11"/>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黑体" w:hAnsi="宋体" w:eastAsia="黑体" w:cs="黑体"/>
                <w:kern w:val="0"/>
                <w:sz w:val="20"/>
                <w:szCs w:val="20"/>
              </w:rPr>
            </w:pPr>
            <w:r>
              <w:rPr>
                <w:rFonts w:hint="eastAsia" w:ascii="黑体" w:hAnsi="宋体" w:eastAsia="黑体" w:cs="黑体"/>
                <w:kern w:val="0"/>
                <w:sz w:val="20"/>
                <w:szCs w:val="20"/>
              </w:rPr>
              <w:t>经济要求</w:t>
            </w:r>
          </w:p>
        </w:tc>
      </w:tr>
      <w:tr>
        <w:tblPrEx>
          <w:tblCellMar>
            <w:top w:w="0" w:type="dxa"/>
            <w:left w:w="108" w:type="dxa"/>
            <w:bottom w:w="0" w:type="dxa"/>
            <w:right w:w="108" w:type="dxa"/>
          </w:tblCellMar>
        </w:tblPrEx>
        <w:trPr>
          <w:gridAfter w:val="1"/>
          <w:wAfter w:w="16" w:type="dxa"/>
          <w:trHeight w:val="499"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sz w:val="20"/>
                <w:szCs w:val="20"/>
              </w:rPr>
            </w:pPr>
            <w:r>
              <w:rPr>
                <w:rFonts w:hint="eastAsia" w:ascii="宋体" w:hAnsi="宋体" w:cs="宋体"/>
                <w:color w:val="000000"/>
                <w:kern w:val="0"/>
                <w:sz w:val="20"/>
                <w:szCs w:val="20"/>
                <w:lang w:bidi="ar"/>
              </w:rPr>
              <w:t xml:space="preserve">1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交货时间、交货地点</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合同签订后3个月内交付，交付地点由甲方指定</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99"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sz w:val="20"/>
                <w:szCs w:val="20"/>
              </w:rPr>
            </w:pPr>
            <w:r>
              <w:rPr>
                <w:rFonts w:hint="eastAsia" w:ascii="宋体" w:hAnsi="宋体" w:cs="宋体"/>
                <w:color w:val="000000"/>
                <w:kern w:val="0"/>
                <w:sz w:val="20"/>
                <w:szCs w:val="20"/>
                <w:lang w:bidi="ar"/>
              </w:rPr>
              <w:t xml:space="preserve">2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付款及结算方式</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签订合同付（预付）0%，物资到货（服务完成）验收后付95%。</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54"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color w:val="000000"/>
                <w:kern w:val="0"/>
                <w:sz w:val="20"/>
                <w:szCs w:val="20"/>
                <w:lang w:bidi="ar"/>
              </w:rPr>
              <w:t xml:space="preserve">3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履约保证金/质量保证金</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质保期满且无质量问题支付剩余5%（不超过5%）</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54"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sz w:val="20"/>
                <w:szCs w:val="20"/>
              </w:rPr>
            </w:pPr>
            <w:r>
              <w:rPr>
                <w:rFonts w:hint="eastAsia" w:ascii="宋体" w:hAnsi="宋体" w:cs="宋体"/>
                <w:color w:val="000000"/>
                <w:kern w:val="0"/>
                <w:sz w:val="20"/>
                <w:szCs w:val="20"/>
                <w:lang w:bidi="ar"/>
              </w:rPr>
              <w:t xml:space="preserve">4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产品包装和运输要求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按照国家、行业相关标准规范，产品确保包装完好，运输确保不对产品造成损伤。</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54"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sz w:val="20"/>
                <w:szCs w:val="20"/>
              </w:rPr>
            </w:pPr>
            <w:r>
              <w:rPr>
                <w:rFonts w:hint="eastAsia" w:ascii="宋体" w:hAnsi="宋体" w:cs="宋体"/>
                <w:color w:val="000000"/>
                <w:kern w:val="0"/>
                <w:sz w:val="20"/>
                <w:szCs w:val="20"/>
                <w:lang w:bidi="ar"/>
              </w:rPr>
              <w:t xml:space="preserve">5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售后服务1</w:t>
            </w:r>
            <w:r>
              <w:rPr>
                <w:rFonts w:hint="eastAsia" w:ascii="宋体" w:hAnsi="宋体" w:cs="宋体"/>
                <w:b/>
                <w:bCs/>
                <w:color w:val="000000"/>
                <w:kern w:val="0"/>
                <w:sz w:val="20"/>
                <w:szCs w:val="20"/>
                <w:lang w:bidi="ar"/>
              </w:rPr>
              <w:br w:type="textWrapping"/>
            </w:r>
            <w:r>
              <w:rPr>
                <w:rFonts w:hint="eastAsia" w:ascii="宋体" w:hAnsi="宋体" w:cs="宋体"/>
                <w:b/>
                <w:bCs/>
                <w:color w:val="000000"/>
                <w:kern w:val="0"/>
                <w:sz w:val="20"/>
                <w:szCs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保修年限不低于1年，全年故障停机时间不高于5%（按365日/年计算)。</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是</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原厂授权</w:t>
            </w:r>
            <w:r>
              <w:rPr>
                <w:rFonts w:hint="eastAsia" w:ascii="宋体" w:hAnsi="宋体" w:cs="宋体"/>
                <w:color w:val="000000"/>
                <w:kern w:val="0"/>
                <w:sz w:val="22"/>
                <w:szCs w:val="22"/>
                <w:lang w:bidi="ar"/>
              </w:rPr>
              <w:t>或</w:t>
            </w: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99"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sz w:val="20"/>
                <w:szCs w:val="20"/>
              </w:rPr>
            </w:pPr>
            <w:r>
              <w:rPr>
                <w:rFonts w:hint="eastAsia" w:ascii="宋体" w:hAnsi="宋体" w:cs="宋体"/>
                <w:color w:val="000000"/>
                <w:kern w:val="0"/>
                <w:sz w:val="20"/>
                <w:szCs w:val="20"/>
                <w:lang w:bidi="ar"/>
              </w:rPr>
              <w:t xml:space="preserve">6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售后服务2</w:t>
            </w:r>
            <w:r>
              <w:rPr>
                <w:rFonts w:hint="eastAsia" w:ascii="宋体" w:hAnsi="宋体" w:cs="宋体"/>
                <w:b/>
                <w:bCs/>
                <w:color w:val="000000"/>
                <w:kern w:val="0"/>
                <w:sz w:val="20"/>
                <w:szCs w:val="20"/>
                <w:lang w:bidi="ar"/>
              </w:rPr>
              <w:br w:type="textWrapping"/>
            </w:r>
            <w:r>
              <w:rPr>
                <w:rFonts w:hint="eastAsia" w:ascii="宋体" w:hAnsi="宋体" w:cs="宋体"/>
                <w:b/>
                <w:bCs/>
                <w:color w:val="000000"/>
                <w:kern w:val="0"/>
                <w:sz w:val="20"/>
                <w:szCs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保修期内免费提供定期维护保养服务，免费升级和维护软件，免费提供使用培训。</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99"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color w:val="000000"/>
                <w:kern w:val="0"/>
                <w:sz w:val="20"/>
                <w:szCs w:val="20"/>
                <w:lang w:bidi="ar"/>
              </w:rPr>
              <w:t xml:space="preserve">7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售后服务3</w:t>
            </w:r>
            <w:r>
              <w:rPr>
                <w:rFonts w:hint="eastAsia" w:ascii="宋体" w:hAnsi="宋体" w:cs="宋体"/>
                <w:b/>
                <w:bCs/>
                <w:color w:val="000000"/>
                <w:kern w:val="0"/>
                <w:sz w:val="20"/>
                <w:szCs w:val="20"/>
                <w:lang w:bidi="ar"/>
              </w:rPr>
              <w:br w:type="textWrapping"/>
            </w:r>
            <w:r>
              <w:rPr>
                <w:rFonts w:hint="eastAsia" w:ascii="宋体" w:hAnsi="宋体" w:cs="宋体"/>
                <w:b/>
                <w:bCs/>
                <w:color w:val="000000"/>
                <w:kern w:val="0"/>
                <w:sz w:val="20"/>
                <w:szCs w:val="20"/>
                <w:lang w:bidi="ar"/>
              </w:rPr>
              <w:t>（质保）</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提供不少于1人次、1天的工程师维修培训。</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99"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sz w:val="20"/>
                <w:szCs w:val="20"/>
              </w:rPr>
            </w:pPr>
            <w:r>
              <w:rPr>
                <w:rFonts w:hint="eastAsia" w:ascii="宋体" w:hAnsi="宋体" w:cs="宋体"/>
                <w:color w:val="000000"/>
                <w:kern w:val="0"/>
                <w:sz w:val="20"/>
                <w:szCs w:val="20"/>
                <w:lang w:bidi="ar"/>
              </w:rPr>
              <w:t xml:space="preserve">8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售后服务4</w:t>
            </w:r>
            <w:r>
              <w:rPr>
                <w:rFonts w:hint="eastAsia" w:ascii="宋体" w:hAnsi="宋体" w:cs="宋体"/>
                <w:b/>
                <w:bCs/>
                <w:color w:val="000000"/>
                <w:kern w:val="0"/>
                <w:sz w:val="20"/>
                <w:szCs w:val="20"/>
                <w:lang w:bidi="ar"/>
              </w:rPr>
              <w:br w:type="textWrapping"/>
            </w:r>
            <w:r>
              <w:rPr>
                <w:rFonts w:hint="eastAsia" w:ascii="宋体" w:hAnsi="宋体" w:cs="宋体"/>
                <w:b/>
                <w:bCs/>
                <w:color w:val="000000"/>
                <w:kern w:val="0"/>
                <w:sz w:val="20"/>
                <w:szCs w:val="20"/>
                <w:lang w:bidi="ar"/>
              </w:rPr>
              <w:t>（响应时间）</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维修响应时间≤6小时，维修到达现场时间≤8小时。</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72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color w:val="000000"/>
                <w:kern w:val="0"/>
                <w:sz w:val="20"/>
                <w:szCs w:val="20"/>
                <w:lang w:bidi="ar"/>
              </w:rPr>
              <w:t xml:space="preserve">9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备品备件要求（零配件）</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由供应商承诺项目使用寿命周期内保证零配件供应。</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color w:val="000000"/>
                <w:kern w:val="0"/>
                <w:sz w:val="20"/>
                <w:szCs w:val="20"/>
                <w:lang w:bidi="ar"/>
              </w:rPr>
              <w:t xml:space="preserve">10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专用工具</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厂家自报</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color w:val="000000"/>
                <w:kern w:val="0"/>
                <w:sz w:val="20"/>
                <w:szCs w:val="20"/>
                <w:lang w:bidi="ar"/>
              </w:rPr>
              <w:t xml:space="preserve">11 </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黑体" w:eastAsia="黑体" w:cs="黑体"/>
                <w:kern w:val="0"/>
                <w:sz w:val="20"/>
                <w:szCs w:val="20"/>
              </w:rPr>
            </w:pPr>
            <w:r>
              <w:rPr>
                <w:rFonts w:hint="eastAsia" w:ascii="宋体" w:hAnsi="宋体" w:cs="宋体"/>
                <w:b/>
                <w:bCs/>
                <w:color w:val="000000"/>
                <w:kern w:val="0"/>
                <w:sz w:val="20"/>
                <w:szCs w:val="20"/>
                <w:lang w:bidi="ar"/>
              </w:rPr>
              <w:t>物资编目编码、打码贴签要求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kern w:val="0"/>
                <w:sz w:val="20"/>
                <w:szCs w:val="20"/>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本项目对物资的编目编码、打码贴签要求，报价供应商应当予以明确响应，相关费用包含在报价中。</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500" w:hRule="atLeast"/>
        </w:trPr>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12</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kern w:val="0"/>
                <w:sz w:val="20"/>
                <w:szCs w:val="20"/>
                <w:lang w:bidi="ar"/>
              </w:rPr>
            </w:pPr>
            <w:r>
              <w:rPr>
                <w:rFonts w:hint="eastAsia" w:ascii="宋体" w:hAnsi="宋体" w:cs="宋体"/>
                <w:b/>
                <w:bCs/>
                <w:color w:val="000000"/>
                <w:kern w:val="0"/>
                <w:sz w:val="20"/>
                <w:szCs w:val="20"/>
                <w:lang w:val="en-US" w:eastAsia="zh-CN" w:bidi="ar"/>
              </w:rPr>
              <w:t>知识产权与保密要求</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449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72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lang w:val="en-US" w:eastAsia="zh-CN" w:bidi="ar-SA"/>
              </w:rPr>
            </w:pPr>
            <w:r>
              <w:rPr>
                <w:rFonts w:hint="eastAsia" w:ascii="宋体" w:hAnsi="宋体" w:cs="宋体"/>
                <w:color w:val="000000"/>
                <w:kern w:val="0"/>
                <w:sz w:val="20"/>
                <w:szCs w:val="20"/>
                <w:lang w:bidi="ar"/>
              </w:rPr>
              <w:t>否</w:t>
            </w:r>
          </w:p>
        </w:tc>
        <w:tc>
          <w:tcPr>
            <w:tcW w:w="1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i/>
                <w:iCs/>
                <w:kern w:val="0"/>
                <w:sz w:val="20"/>
                <w:szCs w:val="20"/>
                <w:lang w:val="en-US" w:eastAsia="zh-CN" w:bidi="ar-SA"/>
              </w:rPr>
            </w:pPr>
            <w:r>
              <w:rPr>
                <w:rFonts w:hint="eastAsia" w:ascii="宋体" w:hAnsi="宋体" w:cs="宋体"/>
                <w:color w:val="000000"/>
                <w:kern w:val="0"/>
                <w:sz w:val="20"/>
                <w:szCs w:val="20"/>
                <w:lang w:bidi="ar"/>
              </w:rPr>
              <w:t>企业承诺</w:t>
            </w:r>
          </w:p>
        </w:tc>
      </w:tr>
      <w:tr>
        <w:tblPrEx>
          <w:tblCellMar>
            <w:top w:w="0" w:type="dxa"/>
            <w:left w:w="108" w:type="dxa"/>
            <w:bottom w:w="0" w:type="dxa"/>
            <w:right w:w="108" w:type="dxa"/>
          </w:tblCellMar>
        </w:tblPrEx>
        <w:trPr>
          <w:gridAfter w:val="1"/>
          <w:wAfter w:w="16" w:type="dxa"/>
          <w:trHeight w:val="499" w:hRule="atLeast"/>
        </w:trPr>
        <w:tc>
          <w:tcPr>
            <w:tcW w:w="189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kern w:val="0"/>
                <w:sz w:val="20"/>
                <w:szCs w:val="20"/>
              </w:rPr>
            </w:pPr>
            <w:r>
              <w:rPr>
                <w:rFonts w:hint="eastAsia" w:ascii="黑体" w:hAnsi="宋体" w:eastAsia="黑体" w:cs="黑体"/>
                <w:kern w:val="0"/>
                <w:sz w:val="20"/>
                <w:szCs w:val="20"/>
              </w:rPr>
              <w:t>技术偏离要求</w:t>
            </w:r>
          </w:p>
        </w:tc>
        <w:tc>
          <w:tcPr>
            <w:tcW w:w="7825"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黑体" w:eastAsia="黑体" w:cs="黑体"/>
                <w:kern w:val="0"/>
                <w:sz w:val="20"/>
                <w:szCs w:val="20"/>
              </w:rPr>
            </w:pPr>
            <w:r>
              <w:rPr>
                <w:rFonts w:hint="eastAsia" w:ascii="黑体" w:hAnsi="黑体" w:eastAsia="黑体" w:cs="黑体"/>
                <w:kern w:val="0"/>
                <w:sz w:val="20"/>
                <w:szCs w:val="20"/>
              </w:rPr>
              <w:t>▲标识的指标负偏离≥4项，投标企业技术分值为</w:t>
            </w:r>
            <w:r>
              <w:rPr>
                <w:rFonts w:ascii="黑体" w:hAnsi="黑体" w:eastAsia="黑体" w:cs="黑体"/>
                <w:kern w:val="0"/>
                <w:sz w:val="20"/>
                <w:szCs w:val="20"/>
              </w:rPr>
              <w:t>0</w:t>
            </w:r>
            <w:r>
              <w:rPr>
                <w:rFonts w:hint="eastAsia" w:ascii="黑体" w:hAnsi="黑体" w:eastAsia="黑体" w:cs="黑体"/>
                <w:kern w:val="0"/>
                <w:sz w:val="20"/>
                <w:szCs w:val="20"/>
              </w:rPr>
              <w:t>分</w:t>
            </w:r>
          </w:p>
          <w:p>
            <w:pPr>
              <w:widowControl/>
              <w:spacing w:line="240" w:lineRule="exact"/>
              <w:jc w:val="left"/>
              <w:rPr>
                <w:rFonts w:hint="eastAsia" w:ascii="黑体" w:hAnsi="黑体" w:eastAsia="黑体" w:cs="黑体"/>
                <w:kern w:val="0"/>
                <w:sz w:val="20"/>
                <w:szCs w:val="20"/>
              </w:rPr>
            </w:pPr>
            <w:r>
              <w:rPr>
                <w:rFonts w:hint="eastAsia" w:ascii="黑体" w:hAnsi="黑体" w:eastAsia="黑体" w:cs="黑体"/>
                <w:kern w:val="0"/>
                <w:sz w:val="20"/>
                <w:szCs w:val="20"/>
              </w:rPr>
              <w:t>▲标识的指标和“无标识”指标负偏离≥7项，投标企业技术分值为</w:t>
            </w:r>
            <w:r>
              <w:rPr>
                <w:rFonts w:ascii="黑体" w:hAnsi="黑体" w:eastAsia="黑体" w:cs="黑体"/>
                <w:kern w:val="0"/>
                <w:sz w:val="20"/>
                <w:szCs w:val="20"/>
              </w:rPr>
              <w:t>0</w:t>
            </w:r>
            <w:r>
              <w:rPr>
                <w:rFonts w:hint="eastAsia" w:ascii="黑体" w:hAnsi="黑体" w:eastAsia="黑体" w:cs="黑体"/>
                <w:kern w:val="0"/>
                <w:sz w:val="20"/>
                <w:szCs w:val="20"/>
              </w:rPr>
              <w:t>分</w:t>
            </w:r>
          </w:p>
        </w:tc>
      </w:tr>
    </w:tbl>
    <w:p>
      <w:pPr>
        <w:pStyle w:val="2"/>
        <w:sectPr>
          <w:footerReference r:id="rId4" w:type="first"/>
          <w:footerReference r:id="rId3" w:type="default"/>
          <w:pgSz w:w="11906" w:h="16838"/>
          <w:pgMar w:top="1134" w:right="1134" w:bottom="1134" w:left="1134" w:header="709" w:footer="794" w:gutter="0"/>
          <w:cols w:space="0" w:num="1"/>
          <w:titlePg/>
          <w:docGrid w:type="lines" w:linePitch="368"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11EBBF-174E-4303-BA4C-E003BC50EBC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embedRegular r:id="rId2" w:fontKey="{27668C3F-C58E-4F2F-92A8-69EC0103C8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E97C8720-053C-42D8-A6A6-C1716568544B}"/>
    <w:docVar w:name="KY_MEDREF_VERSION" w:val="3"/>
  </w:docVars>
  <w:rsids>
    <w:rsidRoot w:val="245A65B7"/>
    <w:rsid w:val="000329BE"/>
    <w:rsid w:val="00092BD6"/>
    <w:rsid w:val="00360B79"/>
    <w:rsid w:val="004659D7"/>
    <w:rsid w:val="005112A7"/>
    <w:rsid w:val="00735364"/>
    <w:rsid w:val="00774E19"/>
    <w:rsid w:val="00B5627E"/>
    <w:rsid w:val="09210AFB"/>
    <w:rsid w:val="20A87CA6"/>
    <w:rsid w:val="245A65B7"/>
    <w:rsid w:val="26F94A59"/>
    <w:rsid w:val="27194430"/>
    <w:rsid w:val="37692AB7"/>
    <w:rsid w:val="3932296D"/>
    <w:rsid w:val="39AD2267"/>
    <w:rsid w:val="3B817AB6"/>
    <w:rsid w:val="46431172"/>
    <w:rsid w:val="4A3F0350"/>
    <w:rsid w:val="4B9050F1"/>
    <w:rsid w:val="546314A0"/>
    <w:rsid w:val="54FF396A"/>
    <w:rsid w:val="5ACF70CC"/>
    <w:rsid w:val="5FC93AB7"/>
    <w:rsid w:val="616846E0"/>
    <w:rsid w:val="62865C30"/>
    <w:rsid w:val="6605726C"/>
    <w:rsid w:val="68CE22D9"/>
    <w:rsid w:val="7A37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Body Text Indent"/>
    <w:basedOn w:val="1"/>
    <w:qFormat/>
    <w:uiPriority w:val="99"/>
    <w:pPr>
      <w:spacing w:line="400" w:lineRule="exact"/>
      <w:ind w:firstLine="600" w:firstLineChars="200"/>
    </w:pPr>
    <w:rPr>
      <w:rFonts w:ascii="仿宋_GB2312" w:eastAsia="仿宋_GB2312"/>
      <w:sz w:val="30"/>
    </w:rPr>
  </w:style>
  <w:style w:type="paragraph" w:styleId="4">
    <w:name w:val="Plain Text"/>
    <w:basedOn w:val="1"/>
    <w:link w:val="22"/>
    <w:qFormat/>
    <w:uiPriority w:val="0"/>
    <w:pPr>
      <w:widowControl/>
      <w:spacing w:line="360" w:lineRule="auto"/>
      <w:ind w:left="-150" w:leftChars="-150"/>
    </w:pPr>
    <w:rPr>
      <w:rFonts w:ascii="宋体" w:hAnsi="Courier New"/>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Strong"/>
    <w:basedOn w:val="8"/>
    <w:qFormat/>
    <w:uiPriority w:val="0"/>
    <w:rPr>
      <w:b/>
    </w:rPr>
  </w:style>
  <w:style w:type="paragraph" w:customStyle="1" w:styleId="10">
    <w:name w:val="Default"/>
    <w:qFormat/>
    <w:uiPriority w:val="99"/>
    <w:pPr>
      <w:widowControl w:val="0"/>
      <w:autoSpaceDE w:val="0"/>
      <w:autoSpaceDN w:val="0"/>
    </w:pPr>
    <w:rPr>
      <w:rFonts w:ascii="黑体" w:hAnsi="黑体" w:eastAsia="黑体" w:cs="Times New Roman"/>
      <w:color w:val="000000"/>
      <w:sz w:val="24"/>
      <w:szCs w:val="22"/>
      <w:lang w:val="en-US" w:eastAsia="zh-CN" w:bidi="ar-SA"/>
    </w:rPr>
  </w:style>
  <w:style w:type="character" w:customStyle="1" w:styleId="11">
    <w:name w:val="font101"/>
    <w:basedOn w:val="8"/>
    <w:qFormat/>
    <w:uiPriority w:val="99"/>
    <w:rPr>
      <w:rFonts w:ascii="宋体" w:hAnsi="宋体" w:eastAsia="宋体" w:cs="宋体"/>
      <w:color w:val="000000"/>
      <w:sz w:val="24"/>
      <w:szCs w:val="24"/>
      <w:u w:val="none"/>
    </w:rPr>
  </w:style>
  <w:style w:type="character" w:customStyle="1" w:styleId="12">
    <w:name w:val="font141"/>
    <w:basedOn w:val="8"/>
    <w:qFormat/>
    <w:uiPriority w:val="99"/>
    <w:rPr>
      <w:rFonts w:ascii="宋体" w:hAnsi="宋体" w:eastAsia="宋体" w:cs="宋体"/>
      <w:i/>
      <w:color w:val="000000"/>
      <w:sz w:val="24"/>
      <w:szCs w:val="24"/>
      <w:u w:val="none"/>
    </w:rPr>
  </w:style>
  <w:style w:type="character" w:customStyle="1" w:styleId="13">
    <w:name w:val="font161"/>
    <w:basedOn w:val="8"/>
    <w:qFormat/>
    <w:uiPriority w:val="99"/>
    <w:rPr>
      <w:rFonts w:ascii="宋体" w:hAnsi="宋体" w:eastAsia="宋体" w:cs="宋体"/>
      <w:color w:val="000000"/>
      <w:sz w:val="24"/>
      <w:szCs w:val="24"/>
      <w:u w:val="single"/>
    </w:rPr>
  </w:style>
  <w:style w:type="character" w:customStyle="1" w:styleId="14">
    <w:name w:val="font11"/>
    <w:basedOn w:val="8"/>
    <w:qFormat/>
    <w:uiPriority w:val="99"/>
    <w:rPr>
      <w:rFonts w:ascii="Times New Roman" w:hAnsi="Times New Roman" w:cs="Times New Roman"/>
      <w:color w:val="000000"/>
      <w:sz w:val="24"/>
      <w:szCs w:val="24"/>
      <w:u w:val="none"/>
    </w:rPr>
  </w:style>
  <w:style w:type="character" w:customStyle="1" w:styleId="15">
    <w:name w:val="font111"/>
    <w:basedOn w:val="8"/>
    <w:qFormat/>
    <w:uiPriority w:val="99"/>
    <w:rPr>
      <w:rFonts w:ascii="黑体" w:hAnsi="宋体" w:eastAsia="黑体" w:cs="黑体"/>
      <w:i/>
      <w:iCs/>
      <w:color w:val="000000"/>
      <w:sz w:val="20"/>
      <w:szCs w:val="20"/>
      <w:u w:val="none"/>
    </w:rPr>
  </w:style>
  <w:style w:type="character" w:customStyle="1" w:styleId="16">
    <w:name w:val="font71"/>
    <w:basedOn w:val="8"/>
    <w:qFormat/>
    <w:uiPriority w:val="99"/>
    <w:rPr>
      <w:rFonts w:ascii="宋体" w:hAnsi="宋体" w:eastAsia="宋体" w:cs="宋体"/>
      <w:color w:val="000000"/>
      <w:sz w:val="24"/>
      <w:szCs w:val="24"/>
      <w:u w:val="none"/>
    </w:rPr>
  </w:style>
  <w:style w:type="character" w:customStyle="1" w:styleId="17">
    <w:name w:val="font21"/>
    <w:basedOn w:val="8"/>
    <w:qFormat/>
    <w:uiPriority w:val="99"/>
    <w:rPr>
      <w:rFonts w:ascii="宋体" w:hAnsi="宋体" w:eastAsia="宋体" w:cs="宋体"/>
      <w:color w:val="000000"/>
      <w:sz w:val="24"/>
      <w:szCs w:val="24"/>
      <w:u w:val="single"/>
    </w:rPr>
  </w:style>
  <w:style w:type="character" w:customStyle="1" w:styleId="18">
    <w:name w:val="font01"/>
    <w:basedOn w:val="8"/>
    <w:qFormat/>
    <w:uiPriority w:val="99"/>
    <w:rPr>
      <w:rFonts w:ascii="宋体" w:hAnsi="宋体" w:eastAsia="宋体" w:cs="宋体"/>
      <w:i/>
      <w:color w:val="000000"/>
      <w:sz w:val="24"/>
      <w:szCs w:val="24"/>
      <w:u w:val="none"/>
    </w:rPr>
  </w:style>
  <w:style w:type="character" w:customStyle="1" w:styleId="19">
    <w:name w:val="font41"/>
    <w:basedOn w:val="8"/>
    <w:qFormat/>
    <w:uiPriority w:val="99"/>
    <w:rPr>
      <w:rFonts w:ascii="黑体" w:hAnsi="宋体" w:eastAsia="黑体" w:cs="黑体"/>
      <w:color w:val="000000"/>
      <w:sz w:val="24"/>
      <w:szCs w:val="24"/>
      <w:u w:val="none"/>
    </w:rPr>
  </w:style>
  <w:style w:type="character" w:customStyle="1" w:styleId="20">
    <w:name w:val="font31"/>
    <w:basedOn w:val="8"/>
    <w:qFormat/>
    <w:uiPriority w:val="99"/>
    <w:rPr>
      <w:rFonts w:ascii="楷体_GB2312" w:eastAsia="楷体_GB2312" w:cs="楷体_GB2312"/>
      <w:color w:val="000000"/>
      <w:sz w:val="18"/>
      <w:szCs w:val="18"/>
      <w:u w:val="none"/>
    </w:rPr>
  </w:style>
  <w:style w:type="paragraph" w:styleId="21">
    <w:name w:val="List Paragraph"/>
    <w:basedOn w:val="1"/>
    <w:qFormat/>
    <w:uiPriority w:val="34"/>
    <w:pPr>
      <w:ind w:firstLine="420" w:firstLineChars="200"/>
    </w:pPr>
  </w:style>
  <w:style w:type="character" w:customStyle="1" w:styleId="22">
    <w:name w:val="纯文本 字符"/>
    <w:link w:val="4"/>
    <w:qFormat/>
    <w:uiPriority w:val="0"/>
    <w:rPr>
      <w:rFonts w:ascii="宋体" w:hAnsi="Courier New"/>
      <w:szCs w:val="24"/>
    </w:rPr>
  </w:style>
  <w:style w:type="character" w:customStyle="1" w:styleId="23">
    <w:name w:val="NormalCharacter"/>
    <w:semiHidden/>
    <w:qFormat/>
    <w:uiPriority w:val="0"/>
  </w:style>
  <w:style w:type="character" w:customStyle="1" w:styleId="24">
    <w:name w:val="font51"/>
    <w:basedOn w:val="8"/>
    <w:qFormat/>
    <w:uiPriority w:val="0"/>
    <w:rPr>
      <w:rFonts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潮州市直及下属单位</Company>
  <Pages>4</Pages>
  <Words>2163</Words>
  <Characters>2402</Characters>
  <Lines>19</Lines>
  <Paragraphs>5</Paragraphs>
  <TotalTime>1</TotalTime>
  <ScaleCrop>false</ScaleCrop>
  <LinksUpToDate>false</LinksUpToDate>
  <CharactersWithSpaces>2470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2024-10-16T09:39:00Z</dcterms:created>
  <dc:creator>Doctor</dc:creator>
  <cp:lastModifiedBy>DOCTOR</cp:lastModifiedBy>
  <dcterms:modified xsi:type="dcterms:W3CDTF">2026-04-14T00:14:53Z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KSOTemplateDocerSaveRecord">
    <vt:lpwstr>eyJoZGlkIjoiODE2ZjEzMmFkNjY2NDkzODg3N2FlNDNlMWMzYWZiNDkiLCJ1c2VySWQiOiIyMzI2NzQ1MDUifQ==</vt:lpwstr>
  </property>
  <property fmtid="{D5CDD505-2E9C-101B-9397-08002B2CF9AE}" pid="4" name="ICV">
    <vt:lpwstr>E4308F547BC144A8A4C0770C3D5580E6_12</vt:lpwstr>
  </property>
</Properties>
</file>