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56" w:beforeLines="50" w:after="156" w:afterLines="50" w:line="572" w:lineRule="exact"/>
        <w:ind w:firstLine="2640" w:firstLineChars="600"/>
        <w:rPr>
          <w:rFonts w:hint="eastAsia"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采购需求表（物资类）</w:t>
      </w:r>
    </w:p>
    <w:tbl>
      <w:tblPr>
        <w:tblStyle w:val="9"/>
        <w:tblW w:w="91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428"/>
        <w:gridCol w:w="410"/>
        <w:gridCol w:w="278"/>
        <w:gridCol w:w="1985"/>
        <w:gridCol w:w="1828"/>
        <w:gridCol w:w="1046"/>
        <w:gridCol w:w="1568"/>
        <w:gridCol w:w="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sz w:val="20"/>
                <w:szCs w:val="20"/>
              </w:rPr>
              <w:t>凝胶成像仪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最高限价（万元）</w:t>
            </w: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sz w:val="20"/>
                <w:szCs w:val="20"/>
              </w:rPr>
              <w:t>37.00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需求名称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性质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需求具体内容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是否</w:t>
            </w:r>
            <w:r>
              <w:rPr>
                <w:rFonts w:ascii="黑体" w:hAnsi="宋体" w:eastAsia="黑体" w:cs="黑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量化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9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基本要求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包括但不限于核酸凝胶成像、蛋白凝胶染色成像、化学发光免疫印迹成像、光密度成像、免染成像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35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资质认证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产品须具备</w:t>
            </w:r>
            <w:r>
              <w:rPr>
                <w:rStyle w:val="29"/>
                <w:rFonts w:hint="eastAsia" w:ascii="宋体" w:hAnsi="宋体" w:cs="宋体"/>
                <w:sz w:val="20"/>
                <w:szCs w:val="20"/>
                <w:lang w:bidi="ar"/>
              </w:rPr>
              <w:t>CE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认证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提供CE认证证书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数据管理规范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软件数据管理符合</w:t>
            </w:r>
            <w:r>
              <w:rPr>
                <w:rStyle w:val="29"/>
                <w:rFonts w:hint="eastAsia" w:ascii="宋体" w:hAnsi="宋体" w:cs="宋体"/>
                <w:sz w:val="20"/>
                <w:szCs w:val="20"/>
                <w:lang w:bidi="ar"/>
              </w:rPr>
              <w:t>21 CFR Part 11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标准的电子记录和电子签名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生产企业生产管理规范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制造商具有</w:t>
            </w:r>
            <w:r>
              <w:rPr>
                <w:rStyle w:val="29"/>
                <w:rFonts w:hint="eastAsia" w:ascii="宋体" w:hAnsi="宋体" w:cs="宋体"/>
                <w:sz w:val="20"/>
                <w:szCs w:val="20"/>
                <w:lang w:bidi="ar"/>
              </w:rPr>
              <w:t>ISO9001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Style w:val="29"/>
                <w:rFonts w:hint="eastAsia" w:ascii="宋体" w:hAnsi="宋体" w:cs="宋体"/>
                <w:sz w:val="20"/>
                <w:szCs w:val="20"/>
                <w:lang w:bidi="ar"/>
              </w:rPr>
              <w:t>ISO13485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等标准。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提供证书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5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技术和性能参数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CCD </w:t>
            </w:r>
            <w:r>
              <w:rPr>
                <w:rStyle w:val="30"/>
                <w:rFonts w:hint="default"/>
                <w:b/>
                <w:bCs/>
                <w:sz w:val="20"/>
                <w:szCs w:val="20"/>
                <w:lang w:bidi="ar"/>
              </w:rPr>
              <w:t>检测器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增强型超冷科研级灰度CCD  检测器，分辨率 6.1M pixel（2,758x2,208）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5.2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仪器控制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≥11 英寸触摸屏控制，支持多点触控功能，无需外接电脑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5.3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Q/E</w:t>
            </w:r>
            <w:r>
              <w:rPr>
                <w:rStyle w:val="30"/>
                <w:rFonts w:hint="default"/>
                <w:b/>
                <w:bCs/>
                <w:sz w:val="20"/>
                <w:szCs w:val="20"/>
                <w:lang w:bidi="ar"/>
              </w:rPr>
              <w:t>值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425nm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处绝对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Q/E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值：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70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％，绝对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Q/E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峰值：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75%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数据采集范围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16bit 数据采集（65,536 灰度级，4.8OD），所有样品动力学范围&gt;4 个数量级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5.5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样品托盘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Style w:val="30"/>
                <w:rFonts w:hint="default"/>
                <w:sz w:val="20"/>
                <w:szCs w:val="20"/>
                <w:lang w:bidi="ar"/>
              </w:rPr>
              <w:t>≥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种：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Chemi/UV/Stain-Free 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样品盘（化学发光、紫外和免染样品成像）；白光样品盘（将透射紫外转换为透射白光，考染、银染及其他蛋白成像）；蓝光样品盘（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SYBR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®等荧光染料）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5.6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镜头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大光圈定焦镜头，电动马达控制CCD相机的移动范围≥10cm，变焦无需改变样品位置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5.7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光源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反射白光，透射紫外，透射白光，透射蓝光（可选）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5.8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托盘识别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智能样品托盘技术，自动识别插入的样品盘类型，选择成像功能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5.9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UV</w:t>
            </w:r>
            <w:r>
              <w:rPr>
                <w:rStyle w:val="30"/>
                <w:rFonts w:hint="default"/>
                <w:b/>
                <w:bCs/>
                <w:sz w:val="20"/>
                <w:szCs w:val="20"/>
                <w:lang w:bidi="ar"/>
              </w:rPr>
              <w:t>防护板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Style w:val="30"/>
                <w:rFonts w:hint="default"/>
                <w:sz w:val="20"/>
                <w:szCs w:val="20"/>
                <w:lang w:bidi="ar"/>
              </w:rPr>
              <w:t>可选配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UV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防护板，方便直接用紫外平台进行样品肉眼观察或切胶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5.10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成像面积 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成像面积≥16.8 x 21 cm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5.11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曝光模式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自动模式，手动模式， 累积曝光模式，化学发光预览模式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5.12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免染成像功能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具有蛋白免染成像专用通道，一键免染成像时间≤5分钟，可以实现样品蛋白质条带电泳结束之后直接成像，无需固定、染色和脱色；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技术白皮书或企业承诺或彩页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5.13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累积曝光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累积曝光多次成像：可以在很长曝光时间内多次成像，且每次成像的曝光时间可以累积，从而避免反复曝光，而且用户可以挑选最中意的图像保存。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5.14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紫外波长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Style w:val="30"/>
                <w:rFonts w:hint="default"/>
                <w:sz w:val="20"/>
                <w:szCs w:val="20"/>
                <w:lang w:bidi="ar"/>
              </w:rPr>
              <w:t xml:space="preserve">紫外波长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302nm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5.15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滤光片轮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Style w:val="30"/>
                <w:rFonts w:hint="default"/>
                <w:sz w:val="20"/>
                <w:szCs w:val="20"/>
                <w:lang w:bidi="ar"/>
              </w:rPr>
              <w:t>全自动滤光片轮≥8位，滤光片置于镜头与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CCD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芯片之间，减少非特异波长杂光进入，降低荧光成像背景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5.16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化学发光专用滤光片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具备647SP滤光片用于化学发光，可去除热景，保证高信比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5.17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平场扫描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Style w:val="30"/>
                <w:rFonts w:hint="default"/>
                <w:sz w:val="20"/>
                <w:szCs w:val="20"/>
                <w:lang w:bidi="ar"/>
              </w:rPr>
              <w:t>动态平场扫描技术，均一性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CV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≤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5%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5.18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优化曝光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自动优化曝光功能，所有成像过程均保持自动对焦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5.19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像素合并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Style w:val="30"/>
                <w:rFonts w:hint="default"/>
                <w:sz w:val="20"/>
                <w:szCs w:val="20"/>
                <w:lang w:bidi="ar"/>
              </w:rPr>
              <w:t>标配有像素合并功能：≥五种，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2x2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3x3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4x4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6x6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8x8</w:t>
            </w:r>
            <w:r>
              <w:rPr>
                <w:rStyle w:val="30"/>
                <w:rFonts w:hint="default"/>
                <w:sz w:val="20"/>
                <w:szCs w:val="20"/>
                <w:lang w:bidi="ar"/>
              </w:rPr>
              <w:t>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5.20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多通道重合拍照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可实现多通道化学发光、免染结果的重合比较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5.21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具有总蛋白免染成像功能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无需固定、染色和脱色、无需丽春红染色，配合免染胶即可进行总蛋白成像；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232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5.22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转印过程质控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提供原厂免染成像解决方案，支持蛋白电泳、转印实验过程每步可视化；可拍摄免染胶基质内含有特殊的三卤化合物，该化合物在特定紫外光激发下可与蛋白质结合，并发出荧光。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技术白皮书或企业承诺或彩页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5.23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提供原厂快速转印方案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转印时间≤10min。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5.24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内存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Style w:val="30"/>
                <w:rFonts w:hint="default"/>
                <w:sz w:val="20"/>
                <w:szCs w:val="20"/>
                <w:lang w:bidi="ar"/>
              </w:rPr>
              <w:t>仪器内置存储空间≥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120G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5.25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软件功能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全自动专业成像及分析软件对系统进行自动控制，包括图像采集后处理、条带及泳道优化、灰度值定量分析、分析图像及报告输出，自动条带检测，自动分子量测算，自动条带浓度测算，总蛋白定量测算分析功能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9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5.26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中英文支持软件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提供中英文版的操作软件和分析软件分析软件支持Windows PC及Mac OS系统，并且具有永久使用权限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9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5.27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结果输出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提供符合文献要求的包含仪器信息(型号、序列号)，曝光参数(光源、滤光片、曝光时长、模式)，不可修改的图像采集时间，灰度值RA范围的黑白16位raw data原始数据结果输出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9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5.28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验收标准</w:t>
            </w:r>
          </w:p>
        </w:tc>
        <w:tc>
          <w:tcPr>
            <w:tcW w:w="6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3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按照投标文件、采购合同、质量标准等，组织对医疗设备进行质量验收，出具验收报告。验收过程中对于核心参数存疑需检测的，可委托地方具有相应检测能力的机构提供技术支持，检测费用由中标供应商提供。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9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经济要求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9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交货时间、交货地点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合同签订后3个月内交付，交付地点由甲方指定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9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付款及结算方式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签订合同付（预付）0%，物资到货（服务完成）验收后付95%。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履约保证金/质量保证金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质保期满且无质量问题支付剩余5%（不超过5%）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产品包装和运输要求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售后服务1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（质保）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保修年限不低于1年，全年故障停机时间不高于5%（按365日/年计算)。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是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原厂授权或企业承诺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9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售后服务2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（质保）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9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7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售后服务3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（质保）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提供不少于1人次、1天的工程师维修培训。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99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售后服务4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（响应时间）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维修响应时间≤6小时，维修到达现场时间≤8小时。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2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9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备品备件要求（零配件）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由供应商承诺项目使用寿命周期内保证零配件供应。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物资编目编码、打码贴签要求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0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知识产权与保密要求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0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益，其权属归采购单位所有，法律另有规定的除外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36" w:hRule="atLeast"/>
          <w:jc w:val="center"/>
        </w:trPr>
        <w:tc>
          <w:tcPr>
            <w:tcW w:w="2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技术偏离要求</w:t>
            </w:r>
          </w:p>
        </w:tc>
        <w:tc>
          <w:tcPr>
            <w:tcW w:w="71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▲标识的指标负偏离≥4项，投标企业技术分值为</w:t>
            </w:r>
            <w:r>
              <w:rPr>
                <w:rFonts w:ascii="黑体" w:hAnsi="黑体" w:eastAsia="黑体" w:cs="黑体"/>
                <w:kern w:val="0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分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▲标识的指标和“无标识”指标负偏离≥7项，投标企业技术分值为</w:t>
            </w:r>
            <w:r>
              <w:rPr>
                <w:rFonts w:ascii="黑体" w:hAnsi="黑体" w:eastAsia="黑体" w:cs="黑体"/>
                <w:kern w:val="0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分</w:t>
            </w:r>
          </w:p>
        </w:tc>
      </w:tr>
    </w:tbl>
    <w:p>
      <w:pPr>
        <w:pStyle w:val="13"/>
        <w:rPr>
          <w:rFonts w:hint="eastAsia" w:cs="黑体"/>
          <w:b/>
          <w:bCs/>
          <w:color w:val="0D0D0D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80B7795-4088-4378-9F7F-A2B0DFA931B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Y_MEDREF_DOCUID" w:val="{820B8431-5C8F-478C-B65C-B773F348DCB0}"/>
    <w:docVar w:name="KY_MEDREF_VERSION" w:val="3"/>
  </w:docVars>
  <w:rsids>
    <w:rsidRoot w:val="245A65B7"/>
    <w:rsid w:val="00092BD6"/>
    <w:rsid w:val="00165E02"/>
    <w:rsid w:val="00324CFE"/>
    <w:rsid w:val="003D24B6"/>
    <w:rsid w:val="004475FE"/>
    <w:rsid w:val="0049265B"/>
    <w:rsid w:val="004D511C"/>
    <w:rsid w:val="00675A18"/>
    <w:rsid w:val="00840999"/>
    <w:rsid w:val="008465B9"/>
    <w:rsid w:val="00985527"/>
    <w:rsid w:val="00A40E36"/>
    <w:rsid w:val="00B1314D"/>
    <w:rsid w:val="00C973AF"/>
    <w:rsid w:val="00D978FF"/>
    <w:rsid w:val="00E36D79"/>
    <w:rsid w:val="00F01FA9"/>
    <w:rsid w:val="183D5DCB"/>
    <w:rsid w:val="1E1670F2"/>
    <w:rsid w:val="20A87CA6"/>
    <w:rsid w:val="22291367"/>
    <w:rsid w:val="245A65B7"/>
    <w:rsid w:val="26F94A59"/>
    <w:rsid w:val="2FBC180A"/>
    <w:rsid w:val="3932296D"/>
    <w:rsid w:val="3B5B2148"/>
    <w:rsid w:val="3C3B4BF5"/>
    <w:rsid w:val="3F381EE7"/>
    <w:rsid w:val="46431172"/>
    <w:rsid w:val="54386F80"/>
    <w:rsid w:val="54FF396A"/>
    <w:rsid w:val="582D23C3"/>
    <w:rsid w:val="5FC93AB7"/>
    <w:rsid w:val="616846E0"/>
    <w:rsid w:val="621C6331"/>
    <w:rsid w:val="6605726C"/>
    <w:rsid w:val="69AD4007"/>
    <w:rsid w:val="73560934"/>
    <w:rsid w:val="79227CA0"/>
    <w:rsid w:val="79B14488"/>
    <w:rsid w:val="7A370B1D"/>
    <w:rsid w:val="7E4A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7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Body Text Indent"/>
    <w:basedOn w:val="1"/>
    <w:qFormat/>
    <w:uiPriority w:val="99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5">
    <w:name w:val="Plain Text"/>
    <w:basedOn w:val="1"/>
    <w:link w:val="25"/>
    <w:qFormat/>
    <w:uiPriority w:val="0"/>
    <w:pPr>
      <w:widowControl/>
      <w:spacing w:line="360" w:lineRule="auto"/>
      <w:ind w:left="-150" w:leftChars="-150"/>
    </w:pPr>
    <w:rPr>
      <w:rFonts w:ascii="宋体" w:hAnsi="Courier New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annotation subject"/>
    <w:basedOn w:val="2"/>
    <w:next w:val="2"/>
    <w:link w:val="28"/>
    <w:qFormat/>
    <w:uiPriority w:val="0"/>
    <w:rPr>
      <w:b/>
      <w:bCs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paragraph" w:customStyle="1" w:styleId="13">
    <w:name w:val="Default"/>
    <w:qFormat/>
    <w:uiPriority w:val="99"/>
    <w:pPr>
      <w:widowControl w:val="0"/>
      <w:autoSpaceDE w:val="0"/>
      <w:autoSpaceDN w:val="0"/>
    </w:pPr>
    <w:rPr>
      <w:rFonts w:ascii="黑体" w:hAnsi="黑体" w:eastAsia="黑体" w:cs="Times New Roman"/>
      <w:color w:val="000000"/>
      <w:sz w:val="24"/>
      <w:szCs w:val="22"/>
      <w:lang w:val="en-US" w:eastAsia="zh-CN" w:bidi="ar-SA"/>
    </w:rPr>
  </w:style>
  <w:style w:type="character" w:customStyle="1" w:styleId="14">
    <w:name w:val="font101"/>
    <w:basedOn w:val="10"/>
    <w:qFormat/>
    <w:uiPriority w:val="99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141"/>
    <w:basedOn w:val="10"/>
    <w:qFormat/>
    <w:uiPriority w:val="99"/>
    <w:rPr>
      <w:rFonts w:ascii="宋体" w:hAnsi="宋体" w:eastAsia="宋体" w:cs="宋体"/>
      <w:i/>
      <w:color w:val="000000"/>
      <w:sz w:val="24"/>
      <w:szCs w:val="24"/>
      <w:u w:val="none"/>
    </w:rPr>
  </w:style>
  <w:style w:type="character" w:customStyle="1" w:styleId="16">
    <w:name w:val="font161"/>
    <w:basedOn w:val="10"/>
    <w:qFormat/>
    <w:uiPriority w:val="99"/>
    <w:rPr>
      <w:rFonts w:ascii="宋体" w:hAnsi="宋体" w:eastAsia="宋体" w:cs="宋体"/>
      <w:color w:val="000000"/>
      <w:sz w:val="24"/>
      <w:szCs w:val="24"/>
      <w:u w:val="single"/>
    </w:rPr>
  </w:style>
  <w:style w:type="character" w:customStyle="1" w:styleId="17">
    <w:name w:val="font11"/>
    <w:basedOn w:val="10"/>
    <w:qFormat/>
    <w:uiPriority w:val="99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111"/>
    <w:basedOn w:val="10"/>
    <w:qFormat/>
    <w:uiPriority w:val="99"/>
    <w:rPr>
      <w:rFonts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19">
    <w:name w:val="font71"/>
    <w:basedOn w:val="10"/>
    <w:qFormat/>
    <w:uiPriority w:val="99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20">
    <w:name w:val="font21"/>
    <w:basedOn w:val="10"/>
    <w:qFormat/>
    <w:uiPriority w:val="99"/>
    <w:rPr>
      <w:rFonts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basedOn w:val="10"/>
    <w:qFormat/>
    <w:uiPriority w:val="99"/>
    <w:rPr>
      <w:rFonts w:ascii="宋体" w:hAnsi="宋体" w:eastAsia="宋体" w:cs="宋体"/>
      <w:i/>
      <w:color w:val="000000"/>
      <w:sz w:val="24"/>
      <w:szCs w:val="24"/>
      <w:u w:val="none"/>
    </w:rPr>
  </w:style>
  <w:style w:type="character" w:customStyle="1" w:styleId="22">
    <w:name w:val="font41"/>
    <w:basedOn w:val="10"/>
    <w:qFormat/>
    <w:uiPriority w:val="99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23">
    <w:name w:val="font31"/>
    <w:basedOn w:val="10"/>
    <w:qFormat/>
    <w:uiPriority w:val="99"/>
    <w:rPr>
      <w:rFonts w:ascii="楷体_GB2312" w:eastAsia="楷体_GB2312" w:cs="楷体_GB2312"/>
      <w:color w:val="000000"/>
      <w:sz w:val="18"/>
      <w:szCs w:val="18"/>
      <w:u w:val="none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character" w:customStyle="1" w:styleId="25">
    <w:name w:val="纯文本 字符"/>
    <w:link w:val="5"/>
    <w:qFormat/>
    <w:uiPriority w:val="0"/>
    <w:rPr>
      <w:rFonts w:ascii="宋体" w:hAnsi="Courier New"/>
      <w:szCs w:val="24"/>
    </w:rPr>
  </w:style>
  <w:style w:type="character" w:customStyle="1" w:styleId="26">
    <w:name w:val="NormalCharacter"/>
    <w:semiHidden/>
    <w:qFormat/>
    <w:uiPriority w:val="0"/>
  </w:style>
  <w:style w:type="character" w:customStyle="1" w:styleId="27">
    <w:name w:val="批注文字 字符"/>
    <w:basedOn w:val="10"/>
    <w:link w:val="2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8">
    <w:name w:val="批注主题 字符"/>
    <w:basedOn w:val="27"/>
    <w:link w:val="8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9">
    <w:name w:val="font51"/>
    <w:basedOn w:val="10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30">
    <w:name w:val="font6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1</Pages>
  <Words>517</Words>
  <Characters>2951</Characters>
  <Lines>24</Lines>
  <Paragraphs>6</Paragraphs>
  <TotalTime>1</TotalTime>
  <ScaleCrop>false</ScaleCrop>
  <LinksUpToDate>false</LinksUpToDate>
  <CharactersWithSpaces>3462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2024-10-16T09:39:00Z</dcterms:created>
  <dc:creator>Doctor</dc:creator>
  <cp:lastModifiedBy>DOCTOR</cp:lastModifiedBy>
  <cp:lastPrinted>2026-02-12T12:45:00Z</cp:lastPrinted>
  <dcterms:modified xsi:type="dcterms:W3CDTF">2026-04-14T00:19:49Z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KSOTemplateDocerSaveRecord">
    <vt:lpwstr>eyJoZGlkIjoiODE2ZjEzMmFkNjY2NDkzODg3N2FlNDNlMWMzYWZiNDkiLCJ1c2VySWQiOiIyMzI2NzQ1MDUifQ==</vt:lpwstr>
  </property>
  <property fmtid="{D5CDD505-2E9C-101B-9397-08002B2CF9AE}" pid="4" name="ICV">
    <vt:lpwstr>E4308F547BC144A8A4C0770C3D5580E6_12</vt:lpwstr>
  </property>
</Properties>
</file>