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="184" w:beforeLines="50" w:after="184" w:afterLines="50" w:line="572" w:lineRule="exact"/>
        <w:ind w:firstLine="2640" w:firstLineChars="600"/>
        <w:rPr>
          <w:rFonts w:hint="eastAsia"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采购需求表（物资类）</w:t>
      </w:r>
    </w:p>
    <w:tbl>
      <w:tblPr>
        <w:tblStyle w:val="9"/>
        <w:tblW w:w="97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77"/>
        <w:gridCol w:w="1206"/>
        <w:gridCol w:w="720"/>
        <w:gridCol w:w="75"/>
        <w:gridCol w:w="1111"/>
        <w:gridCol w:w="2115"/>
        <w:gridCol w:w="1208"/>
        <w:gridCol w:w="441"/>
        <w:gridCol w:w="514"/>
        <w:gridCol w:w="1641"/>
        <w:gridCol w:w="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7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sz w:val="20"/>
                <w:szCs w:val="20"/>
              </w:rPr>
              <w:t>多功能酶标仪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最高限价（万元）</w:t>
            </w:r>
          </w:p>
        </w:tc>
        <w:tc>
          <w:tcPr>
            <w:tcW w:w="26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sz w:val="20"/>
                <w:szCs w:val="20"/>
              </w:rPr>
              <w:t>37.00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需求名称</w:t>
            </w:r>
          </w:p>
        </w:tc>
        <w:tc>
          <w:tcPr>
            <w:tcW w:w="7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性质</w:t>
            </w:r>
          </w:p>
        </w:tc>
        <w:tc>
          <w:tcPr>
            <w:tcW w:w="48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需求具体内容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是否</w:t>
            </w:r>
            <w:r>
              <w:rPr>
                <w:rFonts w:ascii="黑体" w:hAnsi="宋体" w:eastAsia="黑体" w:cs="黑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量化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971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技术要求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基本要求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★</w:t>
            </w: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光吸收、荧光顶部底部、时间分辨荧光（TRF）、连续发光、瞬时发光、双色发光、BRET2、NanoBRET、光吸收和荧光波长扫描等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83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资质认证1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★</w:t>
            </w: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具备CE认证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提供CE相关证书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903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left" w:pos="3132"/>
              </w:tabs>
              <w:spacing w:line="240" w:lineRule="exact"/>
              <w:jc w:val="left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  <w:tab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技术和性能参数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分光系统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★</w:t>
            </w: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四光栅光路，激发和发射分别为双光栅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3.2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板型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6-384孔板，PCR板，高通量微量检测板（2ul×16）。预设常用品牌型号，自动扫描并定义特殊规格板型参数；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3.3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检测器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★</w:t>
            </w: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配备不少于3个独立检测器，包括但不限于紫外硅光电二极管（光吸收）、红外敏感光电倍增管（荧光）、低暗电流单光子计数光电倍增管（发光）；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技术白皮书或企业承诺或彩页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3.4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温控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室温以上5℃到40℃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3.5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振荡器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线性和轨道振荡，振幅和时间可调；1-6mm振幅可选，0.5mm步进，不同振荡速度可调；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3.6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多标记检测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单次检测同一孔检测多达10种不同波长标记物；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3.7</w:t>
            </w:r>
          </w:p>
        </w:tc>
        <w:tc>
          <w:tcPr>
            <w:tcW w:w="903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光吸收模式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3.7.1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光吸收波长检测和扫描范围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▲</w:t>
            </w: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230-1000nm，≤1nm递增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3.7.2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光栅波长准确性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★</w:t>
            </w: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&lt;±1nm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技术白皮书或企业承诺或彩页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3.7.3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光栅波长重复性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&lt;±1nm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3.7.4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测量准确性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&lt; 0.5%（在易干扰紫外波段260nm下测定）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3.7.5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测量精确性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&lt; 0.2%（在易干扰紫外波段260nm下测定）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3.8</w:t>
            </w:r>
          </w:p>
        </w:tc>
        <w:tc>
          <w:tcPr>
            <w:tcW w:w="903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荧光模式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3.8.1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荧光检测器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红外敏感低暗电流PMT；增益（Gain值）可自动适应或手工调整，满足不同样品检测需要，扩展检测范围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3.8.2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检测模式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荧光强度（FI）、时间分辨荧光（TRF）、荧光共振能量传递（FRET）、荧光扫描等；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3.8.3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激发波长检测和扫描范围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230-850nm，1nm递增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3.8.4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发射波长检测和扫描范围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280-850nm，1nm递增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3.8.5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荧光检测线性范围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≥7个数量级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3.8.6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荧光检测灵敏度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≤200 amol 荧光素/孔；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3.9</w:t>
            </w:r>
          </w:p>
        </w:tc>
        <w:tc>
          <w:tcPr>
            <w:tcW w:w="903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时间分辨荧光检测模式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3.9.1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分光系统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▲</w:t>
            </w: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激发－连续双光栅，发射－连续双光栅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3.9.2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波长选择范围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激发波长，230nm到850nm，≤1nm递增；荧光检测线性范围达到7个数量级；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3.9.3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四光栅系统检测灵敏度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▲</w:t>
            </w: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≤ 90 amol 铕/孔（384孔板）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3.10</w:t>
            </w:r>
          </w:p>
        </w:tc>
        <w:tc>
          <w:tcPr>
            <w:tcW w:w="903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发光模式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3.10.1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检测模式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连续发光（Glow Lumi）、瞬时发光（Flash Lumi）、双色发光、生物发光共振能量传递（BRET）等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109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3.10.2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瞬时发光灵敏度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  <w:szCs w:val="20"/>
                <w:highlight w:val="yellow"/>
              </w:rPr>
            </w:pP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15 amol ATP/孔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/>
                <w:iCs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109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3.10.3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滤片组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▲</w:t>
            </w: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配备BRET2/Chroma-Glo和NanoBRET专用滤片组，可进行BRET2、Chroma-Glo和NanoBRET等双色发光检测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109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3.10.4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发光检测线性范围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▲</w:t>
            </w: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≥8个数量级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109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3.11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数据处理及软件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安装全能数据处理及分析软件，可以进行定量、定性分析，比率计算，自动绘制标准曲线，酶动力学测定，计算酶动力学参数，自定义公式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技术白皮书或说明书或彩页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109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3.12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配置需求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★</w:t>
            </w: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主机1台（含光吸收模块，4光栅荧光模块，时间分辨荧光模块，发光模块），品牌操作电脑及分析软件1套。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1090" w:hRule="atLeast"/>
        </w:trPr>
        <w:tc>
          <w:tcPr>
            <w:tcW w:w="6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3.13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验收标准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★</w:t>
            </w: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按照投标文件、采购合同、质量标准等，组织对医疗设备进行质量验收，出具验收报告。验收过程中对于核心参数存疑需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检测的，可委托地方具有相应检测能力的机构提供技术支持，检测费用由中标供应商提供。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i/>
                <w:iCs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971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经济要求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99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 </w:t>
            </w: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交货时间、交货地点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合同签订后3个月内交付，交付地点由甲方指定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99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2 </w:t>
            </w: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付款及结算方式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签订合同付（预付）0%，物资到货（服务完成）验收后付95%。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54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3 </w:t>
            </w: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履约保证金/质量保证金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质保期满且无质量问题支付剩余5%（不超过5%）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54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4 </w:t>
            </w: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产品包装和运输要求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54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5 </w:t>
            </w: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售后服务1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保修年限不低于1年，全年故障停机时间不高于5%（按365日/年计算)。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是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原厂授权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或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99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6 </w:t>
            </w: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售后服务2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99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7 </w:t>
            </w: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售后服务3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提供不少于1人次、1天的工程师维修培训。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99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8 </w:t>
            </w: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售后服务4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（响应时间）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维修响应时间≤6小时，维修到达现场时间≤8小时。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720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9 </w:t>
            </w: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备品备件要求（零配件）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由供应商承诺项目使用寿命周期内保证零配件供应。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10 </w:t>
            </w: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物资编目编码、打码贴签要求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00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11</w:t>
            </w:r>
          </w:p>
        </w:tc>
        <w:tc>
          <w:tcPr>
            <w:tcW w:w="12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知识产权与保密要求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4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否</w:t>
            </w:r>
          </w:p>
        </w:tc>
        <w:tc>
          <w:tcPr>
            <w:tcW w:w="1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i/>
                <w:iCs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99" w:hRule="atLeast"/>
        </w:trPr>
        <w:tc>
          <w:tcPr>
            <w:tcW w:w="18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</w:rPr>
              <w:t>技术偏离要求</w:t>
            </w:r>
          </w:p>
        </w:tc>
        <w:tc>
          <w:tcPr>
            <w:tcW w:w="782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▲标识的指标负偏离≥4项，投标企业技术分值为</w:t>
            </w:r>
            <w:r>
              <w:rPr>
                <w:rFonts w:ascii="黑体" w:hAnsi="黑体" w:eastAsia="黑体" w:cs="黑体"/>
                <w:kern w:val="0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分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▲标识的指标和“无标识”指标负偏离≥7项，投标企业技术分值为</w:t>
            </w:r>
            <w:r>
              <w:rPr>
                <w:rFonts w:ascii="黑体" w:hAnsi="黑体" w:eastAsia="黑体" w:cs="黑体"/>
                <w:kern w:val="0"/>
                <w:sz w:val="20"/>
                <w:szCs w:val="20"/>
              </w:rPr>
              <w:t>0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分</w:t>
            </w:r>
          </w:p>
        </w:tc>
      </w:tr>
    </w:tbl>
    <w:p>
      <w:pPr>
        <w:pStyle w:val="3"/>
        <w:sectPr>
          <w:footerReference r:id="rId4" w:type="first"/>
          <w:footerReference r:id="rId3" w:type="default"/>
          <w:pgSz w:w="11906" w:h="16838"/>
          <w:pgMar w:top="1134" w:right="1134" w:bottom="1134" w:left="1134" w:header="709" w:footer="794" w:gutter="0"/>
          <w:cols w:space="0" w:num="1"/>
          <w:titlePg/>
          <w:docGrid w:type="lines" w:linePitch="36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EDC98BF-00CE-4B24-B8A0-894570384B5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/>
        <w:sz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Y_MEDREF_DOCUID" w:val="{B181D3AC-3029-448D-A57B-C01FA588BA2F}"/>
    <w:docVar w:name="KY_MEDREF_VERSION" w:val="3"/>
  </w:docVars>
  <w:rsids>
    <w:rsidRoot w:val="245A65B7"/>
    <w:rsid w:val="00092BD6"/>
    <w:rsid w:val="000B4BF1"/>
    <w:rsid w:val="002F7E2E"/>
    <w:rsid w:val="00360026"/>
    <w:rsid w:val="00384490"/>
    <w:rsid w:val="003B2F76"/>
    <w:rsid w:val="00442FB4"/>
    <w:rsid w:val="004A7EB6"/>
    <w:rsid w:val="00544896"/>
    <w:rsid w:val="009D1BCF"/>
    <w:rsid w:val="00B820B8"/>
    <w:rsid w:val="00C42D0F"/>
    <w:rsid w:val="118F4D5D"/>
    <w:rsid w:val="19CA33EA"/>
    <w:rsid w:val="1AD54741"/>
    <w:rsid w:val="1E1670F2"/>
    <w:rsid w:val="20A87CA6"/>
    <w:rsid w:val="22291367"/>
    <w:rsid w:val="245A65B7"/>
    <w:rsid w:val="26F94A59"/>
    <w:rsid w:val="351F4778"/>
    <w:rsid w:val="3932296D"/>
    <w:rsid w:val="3F381EE7"/>
    <w:rsid w:val="46431172"/>
    <w:rsid w:val="54386F80"/>
    <w:rsid w:val="54FF396A"/>
    <w:rsid w:val="5DA53F97"/>
    <w:rsid w:val="5FC93AB7"/>
    <w:rsid w:val="616846E0"/>
    <w:rsid w:val="649B4EC4"/>
    <w:rsid w:val="6605726C"/>
    <w:rsid w:val="71640573"/>
    <w:rsid w:val="742E6AA7"/>
    <w:rsid w:val="7A370B1D"/>
    <w:rsid w:val="7D3C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7"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Body Text Indent"/>
    <w:basedOn w:val="1"/>
    <w:qFormat/>
    <w:uiPriority w:val="99"/>
    <w:pPr>
      <w:spacing w:line="400" w:lineRule="exact"/>
      <w:ind w:firstLine="600" w:firstLineChars="200"/>
    </w:pPr>
    <w:rPr>
      <w:rFonts w:ascii="仿宋_GB2312" w:eastAsia="仿宋_GB2312"/>
      <w:sz w:val="30"/>
    </w:rPr>
  </w:style>
  <w:style w:type="paragraph" w:styleId="5">
    <w:name w:val="Plain Text"/>
    <w:basedOn w:val="1"/>
    <w:link w:val="25"/>
    <w:qFormat/>
    <w:uiPriority w:val="0"/>
    <w:pPr>
      <w:widowControl/>
      <w:spacing w:line="360" w:lineRule="auto"/>
      <w:ind w:left="-150" w:leftChars="-150"/>
    </w:pPr>
    <w:rPr>
      <w:rFonts w:ascii="宋体" w:hAnsi="Courier New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annotation subject"/>
    <w:basedOn w:val="2"/>
    <w:next w:val="2"/>
    <w:link w:val="28"/>
    <w:qFormat/>
    <w:uiPriority w:val="0"/>
    <w:rPr>
      <w:b/>
      <w:bCs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paragraph" w:customStyle="1" w:styleId="13">
    <w:name w:val="Default"/>
    <w:qFormat/>
    <w:uiPriority w:val="99"/>
    <w:pPr>
      <w:widowControl w:val="0"/>
      <w:autoSpaceDE w:val="0"/>
      <w:autoSpaceDN w:val="0"/>
    </w:pPr>
    <w:rPr>
      <w:rFonts w:ascii="黑体" w:hAnsi="黑体" w:eastAsia="黑体" w:cs="Times New Roman"/>
      <w:color w:val="000000"/>
      <w:sz w:val="24"/>
      <w:szCs w:val="22"/>
      <w:lang w:val="en-US" w:eastAsia="zh-CN" w:bidi="ar-SA"/>
    </w:rPr>
  </w:style>
  <w:style w:type="character" w:customStyle="1" w:styleId="14">
    <w:name w:val="font101"/>
    <w:basedOn w:val="10"/>
    <w:qFormat/>
    <w:uiPriority w:val="99"/>
    <w:rPr>
      <w:rFonts w:ascii="宋体" w:hAnsi="宋体" w:eastAsia="宋体" w:cs="宋体"/>
      <w:color w:val="000000"/>
      <w:sz w:val="24"/>
      <w:szCs w:val="24"/>
      <w:u w:val="none"/>
    </w:rPr>
  </w:style>
  <w:style w:type="character" w:customStyle="1" w:styleId="15">
    <w:name w:val="font141"/>
    <w:basedOn w:val="10"/>
    <w:qFormat/>
    <w:uiPriority w:val="99"/>
    <w:rPr>
      <w:rFonts w:ascii="宋体" w:hAnsi="宋体" w:eastAsia="宋体" w:cs="宋体"/>
      <w:i/>
      <w:color w:val="000000"/>
      <w:sz w:val="24"/>
      <w:szCs w:val="24"/>
      <w:u w:val="none"/>
    </w:rPr>
  </w:style>
  <w:style w:type="character" w:customStyle="1" w:styleId="16">
    <w:name w:val="font161"/>
    <w:basedOn w:val="10"/>
    <w:qFormat/>
    <w:uiPriority w:val="99"/>
    <w:rPr>
      <w:rFonts w:ascii="宋体" w:hAnsi="宋体" w:eastAsia="宋体" w:cs="宋体"/>
      <w:color w:val="000000"/>
      <w:sz w:val="24"/>
      <w:szCs w:val="24"/>
      <w:u w:val="single"/>
    </w:rPr>
  </w:style>
  <w:style w:type="character" w:customStyle="1" w:styleId="17">
    <w:name w:val="font11"/>
    <w:basedOn w:val="10"/>
    <w:qFormat/>
    <w:uiPriority w:val="99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111"/>
    <w:basedOn w:val="10"/>
    <w:qFormat/>
    <w:uiPriority w:val="99"/>
    <w:rPr>
      <w:rFonts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19">
    <w:name w:val="font71"/>
    <w:basedOn w:val="10"/>
    <w:qFormat/>
    <w:uiPriority w:val="99"/>
    <w:rPr>
      <w:rFonts w:ascii="宋体" w:hAnsi="宋体" w:eastAsia="宋体" w:cs="宋体"/>
      <w:color w:val="000000"/>
      <w:sz w:val="24"/>
      <w:szCs w:val="24"/>
      <w:u w:val="none"/>
    </w:rPr>
  </w:style>
  <w:style w:type="character" w:customStyle="1" w:styleId="20">
    <w:name w:val="font21"/>
    <w:basedOn w:val="10"/>
    <w:qFormat/>
    <w:uiPriority w:val="99"/>
    <w:rPr>
      <w:rFonts w:ascii="宋体" w:hAnsi="宋体" w:eastAsia="宋体" w:cs="宋体"/>
      <w:color w:val="000000"/>
      <w:sz w:val="24"/>
      <w:szCs w:val="24"/>
      <w:u w:val="single"/>
    </w:rPr>
  </w:style>
  <w:style w:type="character" w:customStyle="1" w:styleId="21">
    <w:name w:val="font01"/>
    <w:basedOn w:val="10"/>
    <w:qFormat/>
    <w:uiPriority w:val="99"/>
    <w:rPr>
      <w:rFonts w:ascii="宋体" w:hAnsi="宋体" w:eastAsia="宋体" w:cs="宋体"/>
      <w:i/>
      <w:color w:val="000000"/>
      <w:sz w:val="24"/>
      <w:szCs w:val="24"/>
      <w:u w:val="none"/>
    </w:rPr>
  </w:style>
  <w:style w:type="character" w:customStyle="1" w:styleId="22">
    <w:name w:val="font41"/>
    <w:basedOn w:val="10"/>
    <w:qFormat/>
    <w:uiPriority w:val="99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23">
    <w:name w:val="font31"/>
    <w:basedOn w:val="10"/>
    <w:qFormat/>
    <w:uiPriority w:val="99"/>
    <w:rPr>
      <w:rFonts w:ascii="楷体_GB2312" w:eastAsia="楷体_GB2312" w:cs="楷体_GB2312"/>
      <w:color w:val="000000"/>
      <w:sz w:val="18"/>
      <w:szCs w:val="18"/>
      <w:u w:val="none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character" w:customStyle="1" w:styleId="25">
    <w:name w:val="纯文本 字符"/>
    <w:link w:val="5"/>
    <w:qFormat/>
    <w:uiPriority w:val="0"/>
    <w:rPr>
      <w:rFonts w:ascii="宋体" w:hAnsi="Courier New"/>
      <w:szCs w:val="24"/>
    </w:rPr>
  </w:style>
  <w:style w:type="character" w:customStyle="1" w:styleId="26">
    <w:name w:val="NormalCharacter"/>
    <w:semiHidden/>
    <w:qFormat/>
    <w:uiPriority w:val="0"/>
  </w:style>
  <w:style w:type="character" w:customStyle="1" w:styleId="27">
    <w:name w:val="批注文字 字符"/>
    <w:basedOn w:val="10"/>
    <w:link w:val="2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28">
    <w:name w:val="批注主题 字符"/>
    <w:basedOn w:val="27"/>
    <w:link w:val="8"/>
    <w:qFormat/>
    <w:uiPriority w:val="0"/>
    <w:rPr>
      <w:rFonts w:ascii="Calibri" w:hAnsi="Calibr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潮州市直及下属单位</Company>
  <Pages>1</Pages>
  <Words>448</Words>
  <Characters>2554</Characters>
  <Lines>21</Lines>
  <Paragraphs>5</Paragraphs>
  <TotalTime>2</TotalTime>
  <ScaleCrop>false</ScaleCrop>
  <LinksUpToDate>false</LinksUpToDate>
  <CharactersWithSpaces>2997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2024-10-16T09:39:00Z</dcterms:created>
  <dc:creator>Doctor</dc:creator>
  <cp:lastModifiedBy>DOCTOR</cp:lastModifiedBy>
  <dcterms:modified xsi:type="dcterms:W3CDTF">2026-04-14T00:25:42Z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  <property fmtid="{D5CDD505-2E9C-101B-9397-08002B2CF9AE}" pid="3" name="KSOTemplateDocerSaveRecord">
    <vt:lpwstr>eyJoZGlkIjoiODE2ZjEzMmFkNjY2NDkzODg3N2FlNDNlMWMzYWZiNDkiLCJ1c2VySWQiOiIyMzI2NzQ1MDUifQ==</vt:lpwstr>
  </property>
  <property fmtid="{D5CDD505-2E9C-101B-9397-08002B2CF9AE}" pid="4" name="ICV">
    <vt:lpwstr>E4308F547BC144A8A4C0770C3D5580E6_12</vt:lpwstr>
  </property>
</Properties>
</file>