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firstLine="560"/>
        <w:rPr>
          <w:rFonts w:hint="eastAsia" w:ascii="宋体" w:hAnsi="宋体"/>
          <w:sz w:val="28"/>
          <w:szCs w:val="28"/>
          <w:lang w:val="zh-CN"/>
        </w:rPr>
      </w:pPr>
      <w:bookmarkStart w:id="0" w:name="_Toc32238"/>
      <w:bookmarkStart w:id="1" w:name="_Toc5753"/>
      <w:bookmarkStart w:id="2" w:name="_Toc121476582"/>
      <w:bookmarkStart w:id="3" w:name="_Toc14187"/>
      <w:bookmarkStart w:id="4" w:name="_Toc20518"/>
      <w:bookmarkStart w:id="5" w:name="_Toc31915"/>
      <w:bookmarkStart w:id="6" w:name="_Toc113349540"/>
      <w:bookmarkStart w:id="7" w:name="_Toc112681847"/>
      <w:bookmarkStart w:id="8" w:name="_Toc624"/>
      <w:bookmarkStart w:id="9" w:name="_Toc112768493"/>
      <w:bookmarkStart w:id="10" w:name="_Toc19477"/>
      <w:bookmarkStart w:id="11" w:name="_Toc128151307"/>
      <w:bookmarkStart w:id="12" w:name="_Toc16726"/>
      <w:r>
        <w:rPr>
          <w:rFonts w:hint="eastAsia" w:ascii="宋体" w:hAnsi="宋体"/>
          <w:sz w:val="28"/>
          <w:szCs w:val="28"/>
          <w:lang w:val="zh-CN"/>
        </w:rPr>
        <w:t>单一来源采购项目所有指标均不接受负偏离，经谈判后任意一项不满足采购文件要求，即按废标处理。</w:t>
      </w:r>
    </w:p>
    <w:p>
      <w:pPr>
        <w:tabs>
          <w:tab w:val="left" w:pos="0"/>
          <w:tab w:val="left" w:pos="846"/>
          <w:tab w:val="left" w:pos="1122"/>
        </w:tabs>
        <w:spacing w:line="560" w:lineRule="exact"/>
        <w:ind w:firstLine="560"/>
        <w:outlineLvl w:val="2"/>
        <w:rPr>
          <w:rFonts w:eastAsia="黑体"/>
          <w:b/>
          <w:sz w:val="28"/>
          <w:szCs w:val="28"/>
        </w:rPr>
      </w:pPr>
      <w:bookmarkStart w:id="13" w:name="_Toc18800"/>
      <w:r>
        <w:rPr>
          <w:rFonts w:hint="eastAsia" w:eastAsia="黑体"/>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p>
    <w:tbl>
      <w:tblPr>
        <w:tblStyle w:val="4"/>
        <w:tblW w:w="95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40"/>
        <w:gridCol w:w="404"/>
        <w:gridCol w:w="1389"/>
        <w:gridCol w:w="847"/>
        <w:gridCol w:w="825"/>
        <w:gridCol w:w="3360"/>
        <w:gridCol w:w="1215"/>
        <w:gridCol w:w="200"/>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955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经济要求表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编号</w:t>
            </w:r>
          </w:p>
        </w:tc>
        <w:tc>
          <w:tcPr>
            <w:tcW w:w="2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2026-JQ06-F5006</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名称</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DR保修 锐科（VX3733-SYS）1台部分保修</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最高限价</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（万元）</w:t>
            </w:r>
          </w:p>
        </w:tc>
        <w:tc>
          <w:tcPr>
            <w:tcW w:w="1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default" w:asciiTheme="minorEastAsia" w:hAnsiTheme="minorEastAsia" w:eastAsiaTheme="minorEastAsia" w:cstheme="minorEastAsia"/>
                <w:i w:val="0"/>
                <w:color w:val="000000"/>
                <w:sz w:val="20"/>
                <w:szCs w:val="20"/>
                <w:u w:val="none"/>
                <w:lang w:val="en-US"/>
              </w:rPr>
            </w:pPr>
            <w:r>
              <w:rPr>
                <w:rFonts w:hint="eastAsia" w:asciiTheme="minorEastAsia" w:hAnsiTheme="minorEastAsia" w:eastAsiaTheme="minorEastAsia" w:cstheme="minorEastAsia"/>
                <w:i w:val="0"/>
                <w:color w:val="000000"/>
                <w:kern w:val="0"/>
                <w:sz w:val="20"/>
                <w:szCs w:val="20"/>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序号</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需求名称</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参数</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性质</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需求具体内容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经济要求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交货时间、交货地点</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bookmarkStart w:id="16" w:name="_GoBack"/>
            <w:r>
              <w:rPr>
                <w:rFonts w:hint="eastAsia" w:cs="宋体" w:asciiTheme="minorEastAsia" w:hAnsiTheme="minorEastAsia"/>
                <w:color w:val="000000"/>
                <w:w w:val="90"/>
                <w:kern w:val="0"/>
                <w:sz w:val="20"/>
                <w:szCs w:val="20"/>
              </w:rPr>
              <w:t>自合同期签定起生效至服务期满止</w:t>
            </w:r>
            <w:bookmarkEnd w:id="16"/>
            <w:r>
              <w:rPr>
                <w:rFonts w:hint="eastAsia" w:cs="宋体" w:asciiTheme="minorEastAsia" w:hAnsiTheme="minorEastAsia"/>
                <w:color w:val="000000"/>
                <w:w w:val="90"/>
                <w:kern w:val="0"/>
                <w:sz w:val="20"/>
                <w:szCs w:val="20"/>
              </w:rPr>
              <w:t>，交付地点由甲方指定。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付款及结算方式</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合同签订生效满半年后支付当年保修费的50%，满一年后支付当年保修费余下的50%，以此类推。</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履约保证金和质量保证金</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保密要求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除设备系统日志外,不许拷贝患者相关信息.</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物资编目编码、打码贴签要求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本项目服务所含配套物资有编目编码、打码贴签要求的，</w:t>
            </w:r>
            <w:r>
              <w:rPr>
                <w:rFonts w:hint="eastAsia" w:cs="宋体" w:asciiTheme="minorEastAsia" w:hAnsiTheme="minorEastAsia"/>
                <w:color w:val="000000"/>
                <w:w w:val="90"/>
                <w:kern w:val="0"/>
                <w:sz w:val="20"/>
                <w:szCs w:val="20"/>
                <w:lang w:eastAsia="zh-CN"/>
              </w:rPr>
              <w:t>报价</w:t>
            </w:r>
            <w:r>
              <w:rPr>
                <w:rFonts w:hint="eastAsia" w:cs="宋体" w:asciiTheme="minorEastAsia" w:hAnsiTheme="minorEastAsia"/>
                <w:color w:val="000000"/>
                <w:w w:val="90"/>
                <w:kern w:val="0"/>
                <w:sz w:val="20"/>
                <w:szCs w:val="20"/>
              </w:rPr>
              <w:t>供应商应当予以明确响应，相关费用包含在报价中。</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知识产权和保密要求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zh-CN" w:eastAsia="zh-CN"/>
              </w:rPr>
              <w:t>对采购单位提供的人员、地址、采购情况等信息要保守秘密，不得向外界透露。中标通知书发出后，采购单位将与中标供应商签订保密协议。</w:t>
            </w:r>
          </w:p>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zh-CN" w:eastAsia="zh-CN"/>
              </w:rPr>
              <w:t>基于项目合同履行形成的知识产权和其他权益，其权属归采购单位所有，法律另有规定的除外。</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企业承诺</w:t>
            </w:r>
          </w:p>
        </w:tc>
      </w:tr>
    </w:tbl>
    <w:p>
      <w:pPr>
        <w:rPr>
          <w:rFonts w:hint="eastAsia"/>
        </w:rPr>
      </w:pPr>
    </w:p>
    <w:p>
      <w:pPr>
        <w:tabs>
          <w:tab w:val="left" w:pos="0"/>
          <w:tab w:val="left" w:pos="846"/>
          <w:tab w:val="left" w:pos="1122"/>
        </w:tabs>
        <w:spacing w:line="560" w:lineRule="exact"/>
        <w:ind w:firstLine="560"/>
        <w:outlineLvl w:val="2"/>
        <w:rPr>
          <w:rFonts w:eastAsia="黑体"/>
          <w:b/>
          <w:sz w:val="28"/>
          <w:szCs w:val="28"/>
        </w:rPr>
      </w:pPr>
      <w:bookmarkStart w:id="14" w:name="_Toc851"/>
      <w:bookmarkStart w:id="15" w:name="_Toc6548"/>
      <w:r>
        <w:rPr>
          <w:rFonts w:hint="eastAsia" w:eastAsia="黑体"/>
          <w:sz w:val="28"/>
          <w:szCs w:val="28"/>
        </w:rPr>
        <w:t>二、技术要求</w:t>
      </w:r>
      <w:bookmarkEnd w:id="14"/>
      <w:bookmarkEnd w:id="15"/>
    </w:p>
    <w:tbl>
      <w:tblPr>
        <w:tblStyle w:val="4"/>
        <w:tblW w:w="95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44"/>
        <w:gridCol w:w="993"/>
        <w:gridCol w:w="791"/>
        <w:gridCol w:w="452"/>
        <w:gridCol w:w="825"/>
        <w:gridCol w:w="3360"/>
        <w:gridCol w:w="437"/>
        <w:gridCol w:w="682"/>
        <w:gridCol w:w="11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955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采购需求表（服务类）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编号</w:t>
            </w:r>
          </w:p>
        </w:tc>
        <w:tc>
          <w:tcPr>
            <w:tcW w:w="22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2026-JQ06-F5006</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名称</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DR保修 锐科（VX3733-SYS）1台部分保修</w:t>
            </w:r>
          </w:p>
        </w:tc>
        <w:tc>
          <w:tcPr>
            <w:tcW w:w="1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最高限价</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（万元）</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序号</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需求名称</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参数</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性质</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需求具体内容</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是否</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量化</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1</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基本要求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sz w:val="20"/>
                <w:szCs w:val="20"/>
                <w:lang w:val="zh-CN"/>
              </w:rPr>
              <w:t>部分保修服务，除1块探测平板外涵盖DR设备的所有部件，合同期内不再收取任何维保费用，服务期3年。</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2</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服务能力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sz w:val="20"/>
                <w:szCs w:val="20"/>
              </w:rPr>
              <w:t>投标人保证设备全年开机率≥95%，按一年365天计算，即全年累计停机时间≤18天。若超出上述承诺停机天数，超出一天顺延</w:t>
            </w:r>
            <w:r>
              <w:rPr>
                <w:rFonts w:hint="eastAsia" w:ascii="黑体" w:hAnsi="宋体" w:eastAsia="黑体" w:cs="黑体"/>
                <w:iCs/>
                <w:color w:val="FF0000"/>
                <w:sz w:val="20"/>
                <w:szCs w:val="20"/>
                <w:lang w:val="en-US" w:eastAsia="zh-CN"/>
              </w:rPr>
              <w:t>2</w:t>
            </w:r>
            <w:r>
              <w:rPr>
                <w:rFonts w:hint="eastAsia" w:ascii="黑体" w:hAnsi="宋体" w:eastAsia="黑体" w:cs="黑体"/>
                <w:iCs/>
                <w:color w:val="FF0000"/>
                <w:sz w:val="20"/>
                <w:szCs w:val="20"/>
              </w:rPr>
              <w:t>天</w:t>
            </w:r>
            <w:r>
              <w:rPr>
                <w:rFonts w:hint="eastAsia" w:ascii="黑体" w:hAnsi="宋体" w:eastAsia="黑体" w:cs="黑体"/>
                <w:iCs/>
                <w:sz w:val="20"/>
                <w:szCs w:val="20"/>
              </w:rPr>
              <w:t>保修。</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3</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w w:val="90"/>
                <w:sz w:val="20"/>
                <w:szCs w:val="20"/>
                <w:u w:val="none"/>
              </w:rPr>
            </w:pPr>
            <w:r>
              <w:rPr>
                <w:rFonts w:hint="eastAsia" w:ascii="黑体" w:hAnsi="宋体" w:eastAsia="黑体" w:cs="黑体"/>
                <w:kern w:val="0"/>
                <w:sz w:val="20"/>
                <w:szCs w:val="20"/>
              </w:rPr>
              <w:t>技术实力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sz w:val="20"/>
                <w:szCs w:val="20"/>
              </w:rPr>
              <w:t>投标人在北京市内</w:t>
            </w:r>
            <w:r>
              <w:rPr>
                <w:rFonts w:hint="eastAsia" w:ascii="黑体" w:hAnsi="宋体" w:eastAsia="黑体" w:cs="黑体"/>
                <w:iCs/>
                <w:color w:val="auto"/>
                <w:sz w:val="20"/>
                <w:szCs w:val="20"/>
              </w:rPr>
              <w:t>设有长期稳定的服务机构≥3年，配备全职专业维修工程师≥</w:t>
            </w:r>
            <w:r>
              <w:rPr>
                <w:rFonts w:hint="eastAsia" w:ascii="黑体" w:hAnsi="宋体" w:eastAsia="黑体" w:cs="黑体"/>
                <w:iCs/>
                <w:color w:val="auto"/>
                <w:sz w:val="20"/>
                <w:szCs w:val="20"/>
                <w:lang w:val="en-US" w:eastAsia="zh-CN"/>
              </w:rPr>
              <w:t>4</w:t>
            </w:r>
            <w:r>
              <w:rPr>
                <w:rFonts w:hint="eastAsia" w:ascii="黑体" w:hAnsi="宋体" w:eastAsia="黑体" w:cs="黑体"/>
                <w:iCs/>
                <w:color w:val="auto"/>
                <w:sz w:val="20"/>
                <w:szCs w:val="20"/>
              </w:rPr>
              <w:t>名</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原厂培训证书及三个月内由投标人或其子公司委托外服公司缴纳的社保证明。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4</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w w:val="90"/>
                <w:sz w:val="20"/>
                <w:szCs w:val="20"/>
                <w:u w:val="none"/>
              </w:rPr>
            </w:pPr>
            <w:r>
              <w:rPr>
                <w:rFonts w:hint="eastAsia" w:ascii="黑体" w:hAnsi="宋体" w:eastAsia="黑体" w:cs="黑体"/>
                <w:kern w:val="0"/>
                <w:sz w:val="20"/>
                <w:szCs w:val="20"/>
              </w:rPr>
              <w:t>备件供应</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所更换的备件必须是原厂零配件，满足设备运行要求，且确保100%供应。</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备件保障</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所更换的耐用零配件，保修期≥6个月（自更换后保修不少于6个月，与维保服务结束无关），保修期内如再次故障，应免费维修或更换。；更换的易损件，保修期≥3个月（自更换后保修不少于3个月，与维保服务结束无关），保修期内如再次故障，应免费维修或更换。</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6</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保养服务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每年至少提供</w:t>
            </w:r>
            <w:r>
              <w:rPr>
                <w:rFonts w:hint="eastAsia" w:ascii="黑体" w:hAnsi="宋体" w:eastAsia="黑体" w:cs="黑体"/>
                <w:iCs/>
                <w:kern w:val="0"/>
                <w:sz w:val="20"/>
                <w:szCs w:val="20"/>
                <w:lang w:val="en-US" w:eastAsia="zh-CN"/>
              </w:rPr>
              <w:t>4</w:t>
            </w:r>
            <w:r>
              <w:rPr>
                <w:rFonts w:hint="eastAsia" w:ascii="黑体" w:hAnsi="宋体" w:eastAsia="黑体" w:cs="黑体"/>
                <w:iCs/>
                <w:color w:val="FF0000"/>
                <w:kern w:val="0"/>
                <w:sz w:val="20"/>
                <w:szCs w:val="20"/>
              </w:rPr>
              <w:t>次</w:t>
            </w:r>
            <w:r>
              <w:rPr>
                <w:rFonts w:hint="eastAsia" w:ascii="黑体" w:hAnsi="宋体" w:eastAsia="黑体" w:cs="黑体"/>
                <w:iCs/>
                <w:kern w:val="0"/>
                <w:sz w:val="20"/>
                <w:szCs w:val="20"/>
              </w:rPr>
              <w:t>以上的定期保养服务，包括设备安全检查、设备除尘保养、运行状态检查、及仪器各个组件的校准等；每半年向院方提供书面保养报告及整机质量评估报告。</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7</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响应时间</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投标人须提供7天×24小时的保修服务，及时派遣工程师进行电话指导或赴现场维修，且在接到报修电话后，响应时间≤2小时。</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8</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备件支持</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在有备件支持的情况下，一般故障维修时间≤12小时；重大故障维修时间≤72小时；即投标人应在72小时内将备件运送到现场并修复设备；提供突发性问题的解决措施及特殊紧急的合理化处理措施，按照院方合理需要，工程师8小时内抵达维修现场；所需更换配件24小时内发货</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ind w:firstLine="400" w:firstLineChars="20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sz w:val="20"/>
                <w:szCs w:val="20"/>
              </w:rPr>
              <w:t>9</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保健任务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医疗保健任务时，投标公司须按照院方指定要求，无偿派遣工程师赴现场保障，确保设备正常运行。</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ind w:firstLine="400" w:firstLineChars="20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sz w:val="20"/>
                <w:szCs w:val="20"/>
              </w:rPr>
              <w:t>10</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风险责任</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投标人维修、保养、操作等原因给设备和人员带来的伤害所造成的损失由投标人无偿承担。</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ind w:firstLine="400" w:firstLineChars="20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sz w:val="20"/>
                <w:szCs w:val="20"/>
              </w:rPr>
              <w:t>11</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服务点位</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甲方指定地点</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12</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服务人员</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投标人或实际服务机构针对本项目必须有</w:t>
            </w:r>
            <w:r>
              <w:rPr>
                <w:rFonts w:hint="eastAsia" w:ascii="黑体" w:hAnsi="宋体" w:eastAsia="黑体" w:cs="黑体"/>
                <w:iCs/>
                <w:color w:val="auto"/>
                <w:kern w:val="0"/>
                <w:sz w:val="20"/>
                <w:szCs w:val="20"/>
              </w:rPr>
              <w:t>≥3名工程技术人员</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姓名及培训证书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13</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保修经验</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同类型设备3台以上保修经验。</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lang w:eastAsia="zh-CN"/>
              </w:rPr>
              <w:t>保修合同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4</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验收标准方法</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确保设备全年开机率≥95%，同时图像质量达到质控标准要求,完成定期保养。</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注：1.★指标为必须响应指标，任意一项不满足要求即做废标处理；</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400" w:firstLineChars="200"/>
              <w:jc w:val="left"/>
              <w:textAlignment w:val="center"/>
              <w:outlineLvl w:val="9"/>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color w:val="auto"/>
                <w:kern w:val="0"/>
                <w:sz w:val="20"/>
                <w:szCs w:val="20"/>
              </w:rPr>
              <w:t>2.★及▲标识的指标，需逐条按备注要求提供证明材料，未明确的可由企业提供承诺；</w:t>
            </w:r>
          </w:p>
        </w:tc>
      </w:tr>
    </w:tbl>
    <w:p>
      <w:pPr>
        <w:rPr>
          <w:rFonts w:hint="eastAsia"/>
          <w:lang w:val="zh-CN"/>
        </w:rPr>
      </w:pPr>
    </w:p>
    <w:p>
      <w:pPr>
        <w:rPr>
          <w:rFonts w:hint="eastAsia"/>
          <w:lang w:val="zh-CN"/>
        </w:rPr>
        <w:sectPr>
          <w:headerReference r:id="rId3" w:type="default"/>
          <w:pgSz w:w="11906" w:h="16838"/>
          <w:pgMar w:top="1418" w:right="1134" w:bottom="1418" w:left="1418" w:header="851" w:footer="992" w:gutter="0"/>
          <w:cols w:space="720" w:num="1"/>
          <w:docGrid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楷体_GB2312" w:hAnsi="楷体" w:eastAsia="楷体_GB2312" w:cs="楷体"/>
        <w:sz w:val="21"/>
        <w:szCs w:val="21"/>
      </w:rPr>
    </w:pPr>
    <w:r>
      <w:rPr>
        <w:sz w:val="18"/>
      </w:rPr>
      <w:drawing>
        <wp:anchor distT="0" distB="0" distL="114300" distR="114300" simplePos="0" relativeHeight="251721728" behindDoc="1" locked="0" layoutInCell="1" allowOverlap="1">
          <wp:simplePos x="0" y="0"/>
          <wp:positionH relativeFrom="margin">
            <wp:align>center</wp:align>
          </wp:positionH>
          <wp:positionV relativeFrom="margin">
            <wp:align>center</wp:align>
          </wp:positionV>
          <wp:extent cx="5538470" cy="8891270"/>
          <wp:effectExtent l="0" t="0" r="5080" b="5080"/>
          <wp:wrapNone/>
          <wp:docPr id="1" name="WordPictureWatermark22481" descr="水印图片-中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2481" descr="水印图片-中深"/>
                  <pic:cNvPicPr>
                    <a:picLocks noChangeAspect="1"/>
                  </pic:cNvPicPr>
                </pic:nvPicPr>
                <pic:blipFill>
                  <a:blip r:embed="rId1">
                    <a:lum bright="69998" contrast="-70001"/>
                  </a:blip>
                  <a:stretch>
                    <a:fillRect/>
                  </a:stretch>
                </pic:blipFill>
                <pic:spPr>
                  <a:xfrm>
                    <a:off x="0" y="0"/>
                    <a:ext cx="5538470" cy="8891270"/>
                  </a:xfrm>
                  <a:prstGeom prst="rect">
                    <a:avLst/>
                  </a:prstGeom>
                  <a:noFill/>
                  <a:ln w="9525">
                    <a:noFill/>
                  </a:ln>
                </pic:spPr>
              </pic:pic>
            </a:graphicData>
          </a:graphic>
        </wp:anchor>
      </w:drawing>
    </w:r>
    <w:r>
      <w:rPr>
        <w:rFonts w:hint="eastAsia" w:ascii="楷体_GB2312" w:hAnsi="楷体" w:eastAsia="楷体_GB2312" w:cs="楷体"/>
        <w:sz w:val="21"/>
        <w:szCs w:val="21"/>
      </w:rPr>
      <w:t>第</w:t>
    </w:r>
    <w:r>
      <w:rPr>
        <w:rFonts w:hint="eastAsia" w:ascii="楷体_GB2312" w:hAnsi="楷体" w:eastAsia="楷体_GB2312" w:cs="楷体"/>
        <w:sz w:val="21"/>
        <w:szCs w:val="21"/>
        <w:lang w:eastAsia="zh-CN"/>
      </w:rPr>
      <w:t>六</w:t>
    </w:r>
    <w:r>
      <w:rPr>
        <w:rFonts w:hint="eastAsia" w:ascii="楷体_GB2312" w:hAnsi="楷体" w:eastAsia="楷体_GB2312" w:cs="楷体"/>
        <w:sz w:val="21"/>
        <w:szCs w:val="21"/>
      </w:rPr>
      <w:t xml:space="preserve">章 </w:t>
    </w:r>
    <w:r>
      <w:rPr>
        <w:rFonts w:hint="eastAsia" w:ascii="楷体_GB2312" w:hAnsi="楷体" w:eastAsia="楷体_GB2312" w:cs="楷体"/>
        <w:sz w:val="21"/>
        <w:szCs w:val="21"/>
        <w:lang w:eastAsia="zh-CN"/>
      </w:rPr>
      <w:t>采购项目商务和技术要求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05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0"/>
    <w:pPr>
      <w:ind w:firstLine="420"/>
    </w:pPr>
    <w:rPr>
      <w:kern w:val="0"/>
      <w:sz w:val="24"/>
    </w:rPr>
  </w:style>
  <w:style w:type="paragraph" w:customStyle="1" w:styleId="7">
    <w:name w:val="Default"/>
    <w:qFormat/>
    <w:uiPriority w:val="0"/>
    <w:pPr>
      <w:widowControl w:val="0"/>
      <w:autoSpaceDE w:val="0"/>
      <w:autoSpaceDN w:val="0"/>
      <w:adjustRightInd w:val="0"/>
    </w:pPr>
    <w:rPr>
      <w:rFonts w:ascii="黑体" w:hAnsi="Times New Roman" w:eastAsia="黑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2026-04-16T07:36:39Z</dcterms:created>
  <dc:creator>admin</dc:creator>
  <cp:lastModifiedBy>admin</cp:lastModifiedBy>
  <dcterms:modified xsi:type="dcterms:W3CDTF">2026-04-16T07:39:35Z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