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112768491"/>
      <w:bookmarkStart w:id="1" w:name="_Toc130888005"/>
      <w:bookmarkStart w:id="2" w:name="_Toc30564"/>
      <w:bookmarkStart w:id="3" w:name="_Toc128154366"/>
      <w:bookmarkStart w:id="4" w:name="_Toc32050"/>
      <w:bookmarkStart w:id="5" w:name="_Toc112317781"/>
      <w:bookmarkStart w:id="6" w:name="_Toc21632"/>
      <w:bookmarkStart w:id="7" w:name="_Toc150421246"/>
      <w:bookmarkStart w:id="8" w:name="_Toc28545"/>
      <w:bookmarkStart w:id="9" w:name="_Toc128470293"/>
      <w:bookmarkStart w:id="10" w:name="_Toc9692"/>
      <w:bookmarkStart w:id="11" w:name="_Toc130661176"/>
      <w:bookmarkStart w:id="12" w:name="_Toc152058289"/>
      <w:bookmarkStart w:id="13" w:name="_Toc132191257"/>
      <w:bookmarkStart w:id="14" w:name="_Toc132186973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5" w:name="_Toc130888006"/>
      <w:bookmarkStart w:id="16" w:name="_Toc152058290"/>
      <w:bookmarkStart w:id="17" w:name="_Toc22203"/>
      <w:bookmarkStart w:id="18" w:name="_Toc128154367"/>
      <w:bookmarkStart w:id="19" w:name="_Toc132191258"/>
      <w:bookmarkStart w:id="20" w:name="_Toc112768493"/>
      <w:bookmarkStart w:id="21" w:name="_Toc132186974"/>
      <w:bookmarkStart w:id="22" w:name="_Toc150421247"/>
      <w:bookmarkStart w:id="23" w:name="_Toc128470294"/>
      <w:bookmarkStart w:id="24" w:name="_Toc13168"/>
      <w:bookmarkStart w:id="25" w:name="_Toc112681847"/>
      <w:bookmarkStart w:id="26" w:name="_Toc32238"/>
      <w:bookmarkStart w:id="27" w:name="_Toc14060"/>
      <w:bookmarkStart w:id="28" w:name="_Toc22977"/>
      <w:bookmarkStart w:id="29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6"/>
        <w:tblW w:w="912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24"/>
        <w:gridCol w:w="912"/>
        <w:gridCol w:w="3648"/>
        <w:gridCol w:w="912"/>
        <w:gridCol w:w="912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需求名称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参数</w:t>
            </w:r>
          </w:p>
        </w:tc>
        <w:tc>
          <w:tcPr>
            <w:tcW w:w="3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需求具体内容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是否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量化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备注（证明材料等其他要求）</w:t>
            </w:r>
          </w:p>
        </w:tc>
      </w:tr>
      <w:bookmarkEnd w:id="29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912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bookmarkStart w:id="30" w:name="_Toc150418428"/>
            <w:bookmarkStart w:id="31" w:name="_Toc152057837"/>
            <w:bookmarkStart w:id="32" w:name="_Toc128151027"/>
            <w:bookmarkStart w:id="33" w:name="_Toc130887500"/>
            <w:bookmarkStart w:id="34" w:name="_Toc128150778"/>
            <w:bookmarkStart w:id="35" w:name="_Toc128150134"/>
            <w:bookmarkStart w:id="36" w:name="_Toc128397970"/>
            <w:bookmarkStart w:id="37" w:name="_Toc132190634"/>
            <w:bookmarkStart w:id="38" w:name="_Toc127820564"/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交货时间、交货地点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4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合同签订后3个月内交付，交付地点由甲方指定。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9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8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付款及结算方式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物资到货（服务完成）验收后付95%。</w:t>
            </w:r>
          </w:p>
        </w:tc>
        <w:tc>
          <w:tcPr>
            <w:tcW w:w="91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9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8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履约保证金/质量保证金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质保期满后无质量问题支付剩余5%</w:t>
            </w:r>
          </w:p>
        </w:tc>
        <w:tc>
          <w:tcPr>
            <w:tcW w:w="91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9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8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产品包装和运输要求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按照国家、行业相关标准规范，产品确保包装完好，运输确保不对产品造成损伤。</w:t>
            </w:r>
          </w:p>
        </w:tc>
        <w:tc>
          <w:tcPr>
            <w:tcW w:w="91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912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售后服务1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4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保修年限不低于3年，全年故障停机时间不高于5%（按365日/年计算)。</w:t>
            </w:r>
          </w:p>
        </w:tc>
        <w:tc>
          <w:tcPr>
            <w:tcW w:w="9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原厂授权（企业承诺）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91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（质保）</w:t>
            </w:r>
          </w:p>
        </w:tc>
        <w:tc>
          <w:tcPr>
            <w:tcW w:w="912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12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912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售后服务2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4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保修期内免费提供定期维护保养服务，免费升级和维护软件，免费提供使用培训。</w:t>
            </w:r>
          </w:p>
        </w:tc>
        <w:tc>
          <w:tcPr>
            <w:tcW w:w="9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1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（质保）</w:t>
            </w:r>
          </w:p>
        </w:tc>
        <w:tc>
          <w:tcPr>
            <w:tcW w:w="912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12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12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售后服务3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4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提供不少于1人次、1天的工程师维修培训。</w:t>
            </w:r>
          </w:p>
        </w:tc>
        <w:tc>
          <w:tcPr>
            <w:tcW w:w="9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1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（质保）</w:t>
            </w:r>
          </w:p>
        </w:tc>
        <w:tc>
          <w:tcPr>
            <w:tcW w:w="912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12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12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售后服务4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4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维修响应时间≤2小时，维修到达现场时间≤24小时。</w:t>
            </w:r>
          </w:p>
        </w:tc>
        <w:tc>
          <w:tcPr>
            <w:tcW w:w="9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1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（响应时间）</w:t>
            </w:r>
          </w:p>
        </w:tc>
        <w:tc>
          <w:tcPr>
            <w:tcW w:w="912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12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9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18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备品备件要求（零配件）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由供应商承诺项目使用寿命周期内保证零配件供应。</w:t>
            </w:r>
          </w:p>
        </w:tc>
        <w:tc>
          <w:tcPr>
            <w:tcW w:w="91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912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182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物资编目编码、打码贴签要求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4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91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bookmarkStart w:id="39" w:name="_GoBack" w:colFirst="0" w:colLast="5"/>
            <w:r>
              <w:rPr>
                <w:rFonts w:hint="eastAsia" w:cs="Times New Roman"/>
                <w:bCs/>
                <w:kern w:val="0"/>
                <w:sz w:val="28"/>
                <w:szCs w:val="28"/>
                <w:u w:val="none"/>
                <w:lang w:val="en-US" w:eastAsia="zh-CN" w:bidi="ar-SA"/>
              </w:rPr>
              <w:t>11</w:t>
            </w: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u w:val="none"/>
                <w:lang w:val="en-US" w:eastAsia="zh-CN" w:bidi="ar-SA"/>
              </w:rPr>
              <w:t>知识产权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u w:val="none"/>
                <w:lang w:val="en-US" w:eastAsia="zh-CN" w:bidi="ar-SA"/>
              </w:rPr>
              <w:t>★</w:t>
            </w:r>
          </w:p>
        </w:tc>
        <w:tc>
          <w:tcPr>
            <w:tcW w:w="3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u w:val="none"/>
                <w:lang w:val="en-US" w:eastAsia="zh-CN" w:bidi="ar-SA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u w:val="none"/>
                <w:lang w:val="en-US" w:eastAsia="zh-CN" w:bidi="ar-SA"/>
              </w:rPr>
              <w:t>企业承诺</w:t>
            </w:r>
          </w:p>
        </w:tc>
      </w:tr>
      <w:bookmarkEnd w:id="39"/>
    </w:tbl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  <w:sectPr>
          <w:headerReference r:id="rId3" w:type="default"/>
          <w:pgSz w:w="11906" w:h="16838"/>
          <w:pgMar w:top="1418" w:right="1134" w:bottom="1418" w:left="1418" w:header="851" w:footer="992" w:gutter="0"/>
          <w:cols w:space="720" w:num="1"/>
          <w:docGrid w:linePitch="312" w:charSpace="0"/>
        </w:sectPr>
      </w:pPr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r>
        <w:rPr>
          <w:rFonts w:hint="eastAsia" w:ascii="黑体" w:hAnsi="黑体" w:cs="黑体"/>
          <w:b w:val="0"/>
          <w:sz w:val="28"/>
          <w:szCs w:val="28"/>
        </w:rPr>
        <w:t>二、技术要求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Style w:val="6"/>
        <w:tblW w:w="945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6"/>
        <w:gridCol w:w="1489"/>
        <w:gridCol w:w="945"/>
        <w:gridCol w:w="3840"/>
        <w:gridCol w:w="660"/>
        <w:gridCol w:w="1515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9" w:hRule="atLeast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需求名称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参数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性质</w:t>
            </w:r>
          </w:p>
        </w:tc>
        <w:tc>
          <w:tcPr>
            <w:tcW w:w="384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需求具体内容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是否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量化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9455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基本要求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84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用于呼吸功能障碍患者的辅助通气，适用于成人的有创、无创通气，可用于患者转运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说明书或技术白皮书或彩页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资质认证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具有NMPA认证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注册证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呼吸机类型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电动电控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说明书或技术白皮书或彩页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通气模式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容量控制通气、压力控制通气、同步间歇指令通气、持续气道正压通气、双相气道正压通气、自适应支持通气、心肺复苏通气模式、高流量氧疗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主机重量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≤4.5 kg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同步功能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具备吸气触发、呼气触发和压力上升时间自动调节功能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说明书或技术白皮书或彩页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潮气量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20ml—2000ml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吸入氧浓度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（21—100）%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屏幕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≥7英寸彩色电容触摸控制屏，具有屏幕亮度自动调节功能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说明书或技术白皮书或彩页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氧气连接方式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2种，支持高压氧气气源和低压氧气气源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说明书或技术白皮书或彩页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高压氧气气源接口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主机端为标准DISS或NIST接口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说明书或技术白皮书或彩页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触发灵敏度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84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压力触发灵敏度：（-20 — -0.5）cmH2O；流速触发灵敏度：（0.5—20）L/ min；呼气触发灵敏度：Auto, 1-70%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13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车载转运认证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通过EN1789和YY0600.3转运标准测试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认证或测试报告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14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适航认证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EN 13718-1直升机转运标准测试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认证或测试报告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15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电量显示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具有关机状态下电量显示功能，更加高效掌握机器剩余电量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16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报警及安全指标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声光报警并有故障提示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17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配置要求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呼吸机主机2套，可重复使用的呼吸道管路及传感器2套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06" w:type="dxa"/>
            <w:vMerge w:val="restar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18</w:t>
            </w:r>
          </w:p>
        </w:tc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配套耗材</w:t>
            </w:r>
          </w:p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8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开放耗材</w:t>
            </w:r>
          </w:p>
        </w:tc>
        <w:tc>
          <w:tcPr>
            <w:tcW w:w="6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厂家承诺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06" w:type="dxa"/>
            <w:vMerge w:val="continue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（试剂）要求</w:t>
            </w:r>
          </w:p>
        </w:tc>
        <w:tc>
          <w:tcPr>
            <w:tcW w:w="9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8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7" w:hRule="atLeast"/>
        </w:trPr>
        <w:tc>
          <w:tcPr>
            <w:tcW w:w="1006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19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验收标准方法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660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</w:tbl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说明 ：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（1）★指标为必须响应指标，任意一项不满足要求即做废标处理；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（2）《采购需求表》备注已明确证明材料种类的，以所注内容或国家行政管理部门、专业检测机构出具的证明材料为准；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黑体" w:hAnsi="黑体" w:eastAsia="宋体" w:cs="黑体"/>
          <w:b w:val="0"/>
          <w:color w:val="FF0000"/>
          <w:sz w:val="28"/>
          <w:szCs w:val="28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（3）▲标识的指标负偏离≥</w:t>
      </w:r>
      <w:r>
        <w:rPr>
          <w:rFonts w:hint="eastAsia" w:cs="Times New Roman"/>
          <w:bCs/>
          <w:kern w:val="0"/>
          <w:sz w:val="28"/>
          <w:szCs w:val="28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项，投标企业技术参数指标正负偏离情况为0分；▲标识的指标和“无标识”指标负偏离≥</w:t>
      </w:r>
      <w:r>
        <w:rPr>
          <w:rFonts w:hint="eastAsia" w:cs="Times New Roman"/>
          <w:bCs/>
          <w:kern w:val="0"/>
          <w:sz w:val="28"/>
          <w:szCs w:val="28"/>
          <w:lang w:val="en-US" w:eastAsia="zh-CN" w:bidi="ar-SA"/>
        </w:rPr>
        <w:t>5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项，投标企业技术参数指标正负偏离情况为0分。</w:t>
      </w:r>
    </w:p>
    <w:p>
      <w:pPr>
        <w:jc w:val="left"/>
        <w:rPr>
          <w:rFonts w:hint="eastAsia" w:ascii="黑体" w:hAnsi="黑体" w:eastAsia="宋体" w:cs="黑体"/>
          <w:b w:val="0"/>
          <w:sz w:val="24"/>
          <w:szCs w:val="24"/>
        </w:rPr>
        <w:sectPr>
          <w:pgSz w:w="11906" w:h="16838"/>
          <w:pgMar w:top="1418" w:right="1134" w:bottom="1418" w:left="1418" w:header="851" w:footer="992" w:gutter="0"/>
          <w:cols w:space="720" w:num="1"/>
          <w:docGrid w:linePitch="312" w:charSpace="0"/>
        </w:sectPr>
      </w:pPr>
      <w:r>
        <w:rPr>
          <w:rFonts w:hint="eastAsia" w:ascii="黑体" w:hAnsi="黑体" w:eastAsia="宋体" w:cs="黑体"/>
          <w:b w:val="0"/>
          <w:sz w:val="24"/>
          <w:szCs w:val="24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 xml:space="preserve">章 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采购项目商务和技术要求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D7355"/>
    <w:rsid w:val="580C22C9"/>
    <w:rsid w:val="6E3C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2026-04-20T01:06:00Z</dcterms:created>
  <dc:creator>admin</dc:creator>
  <cp:lastModifiedBy>admin</cp:lastModifiedBy>
  <dcterms:modified xsi:type="dcterms:W3CDTF">2026-04-20T01:20:13Z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