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before="156" w:beforeLines="50" w:after="156" w:afterLines="50" w:line="572" w:lineRule="exact"/>
        <w:jc w:val="center"/>
        <w:rPr>
          <w:rFonts w:ascii="方正小标宋简体" w:hAnsi="方正小标宋简体" w:eastAsia="方正小标宋简体" w:cs="方正小标宋简体"/>
          <w:kern w:val="0"/>
          <w:sz w:val="44"/>
          <w:szCs w:val="44"/>
        </w:rPr>
      </w:pPr>
    </w:p>
    <w:p>
      <w:pPr>
        <w:overflowPunct w:val="0"/>
        <w:spacing w:before="156" w:beforeLines="50" w:after="156" w:afterLines="50" w:line="572" w:lineRule="exact"/>
        <w:jc w:val="center"/>
        <w:outlineLvl w:val="0"/>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采购需求表（物资类）</w:t>
      </w:r>
    </w:p>
    <w:tbl>
      <w:tblPr>
        <w:tblStyle w:val="4"/>
        <w:tblpPr w:leftFromText="180" w:rightFromText="180" w:vertAnchor="text" w:horzAnchor="page" w:tblpX="1562" w:tblpY="807"/>
        <w:tblOverlap w:val="never"/>
        <w:tblW w:w="9060" w:type="dxa"/>
        <w:tblInd w:w="0" w:type="dxa"/>
        <w:tblLayout w:type="fixed"/>
        <w:tblCellMar>
          <w:top w:w="0" w:type="dxa"/>
          <w:left w:w="108" w:type="dxa"/>
          <w:bottom w:w="0" w:type="dxa"/>
          <w:right w:w="108" w:type="dxa"/>
        </w:tblCellMar>
      </w:tblPr>
      <w:tblGrid>
        <w:gridCol w:w="501"/>
        <w:gridCol w:w="669"/>
        <w:gridCol w:w="720"/>
        <w:gridCol w:w="720"/>
        <w:gridCol w:w="75"/>
        <w:gridCol w:w="1095"/>
        <w:gridCol w:w="2115"/>
        <w:gridCol w:w="1208"/>
        <w:gridCol w:w="727"/>
        <w:gridCol w:w="1230"/>
      </w:tblGrid>
      <w:tr>
        <w:tblPrEx>
          <w:tblLayout w:type="fixed"/>
          <w:tblCellMar>
            <w:top w:w="0" w:type="dxa"/>
            <w:left w:w="108" w:type="dxa"/>
            <w:bottom w:w="0" w:type="dxa"/>
            <w:right w:w="108" w:type="dxa"/>
          </w:tblCellMar>
        </w:tblPrEx>
        <w:trPr>
          <w:trHeight w:val="600" w:hRule="atLeast"/>
        </w:trPr>
        <w:tc>
          <w:tcPr>
            <w:tcW w:w="9060" w:type="dxa"/>
            <w:gridSpan w:val="10"/>
            <w:tcBorders>
              <w:top w:val="nil"/>
              <w:left w:val="nil"/>
              <w:bottom w:val="nil"/>
              <w:right w:val="nil"/>
            </w:tcBorders>
            <w:vAlign w:val="center"/>
          </w:tcPr>
          <w:p>
            <w:pPr>
              <w:widowControl/>
              <w:spacing w:line="360" w:lineRule="exact"/>
              <w:jc w:val="left"/>
              <w:textAlignment w:val="center"/>
              <w:rPr>
                <w:rFonts w:hint="default" w:ascii="宋体" w:hAnsi="宋体" w:eastAsia="宋体" w:cs="宋体"/>
                <w:lang w:val="en-US" w:eastAsia="zh-CN"/>
              </w:rPr>
            </w:pPr>
          </w:p>
        </w:tc>
      </w:tr>
      <w:tr>
        <w:tblPrEx>
          <w:tblLayout w:type="fixed"/>
          <w:tblCellMar>
            <w:top w:w="0" w:type="dxa"/>
            <w:left w:w="108" w:type="dxa"/>
            <w:bottom w:w="0" w:type="dxa"/>
            <w:right w:w="108" w:type="dxa"/>
          </w:tblCellMar>
        </w:tblPrEx>
        <w:trPr>
          <w:trHeight w:val="500" w:hRule="atLeast"/>
        </w:trPr>
        <w:tc>
          <w:tcPr>
            <w:tcW w:w="11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采购计划</w:t>
            </w:r>
            <w:r>
              <w:rPr>
                <w:rFonts w:hint="eastAsia" w:ascii="黑体" w:hAnsi="宋体" w:eastAsia="黑体" w:cs="黑体"/>
                <w:kern w:val="0"/>
                <w:sz w:val="20"/>
                <w:lang w:bidi="ar"/>
              </w:rPr>
              <w:br w:type="textWrapping"/>
            </w:r>
            <w:r>
              <w:rPr>
                <w:rFonts w:hint="eastAsia" w:ascii="黑体" w:hAnsi="宋体" w:eastAsia="黑体" w:cs="黑体"/>
                <w:kern w:val="0"/>
                <w:sz w:val="20"/>
                <w:lang w:bidi="ar"/>
              </w:rPr>
              <w:t>编号</w:t>
            </w:r>
          </w:p>
        </w:tc>
        <w:tc>
          <w:tcPr>
            <w:tcW w:w="1515" w:type="dxa"/>
            <w:gridSpan w:val="3"/>
            <w:tcBorders>
              <w:top w:val="single" w:color="000000" w:sz="4" w:space="0"/>
              <w:left w:val="single" w:color="000000" w:sz="4" w:space="0"/>
              <w:bottom w:val="single" w:color="000000" w:sz="4" w:space="0"/>
              <w:right w:val="nil"/>
            </w:tcBorders>
            <w:vAlign w:val="center"/>
          </w:tcPr>
          <w:p>
            <w:pPr>
              <w:widowControl/>
              <w:spacing w:line="240" w:lineRule="exact"/>
              <w:jc w:val="center"/>
              <w:rPr>
                <w:rFonts w:ascii="黑体" w:hAnsi="宋体" w:eastAsia="黑体" w:cs="黑体"/>
                <w:sz w:val="20"/>
              </w:rPr>
            </w:pPr>
          </w:p>
        </w:tc>
        <w:tc>
          <w:tcPr>
            <w:tcW w:w="1095" w:type="dxa"/>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项目名称</w:t>
            </w:r>
          </w:p>
        </w:tc>
        <w:tc>
          <w:tcPr>
            <w:tcW w:w="21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default" w:ascii="黑体" w:hAnsi="宋体" w:eastAsia="黑体" w:cs="黑体"/>
                <w:sz w:val="20"/>
                <w:lang w:val="en-US" w:eastAsia="zh-CN"/>
              </w:rPr>
            </w:pPr>
            <w:r>
              <w:rPr>
                <w:rFonts w:hint="eastAsia" w:ascii="黑体" w:hAnsi="宋体" w:eastAsia="黑体" w:cs="黑体"/>
                <w:sz w:val="20"/>
                <w:lang w:val="en-US" w:eastAsia="zh-CN"/>
              </w:rPr>
              <w:t>B2生物安全柜</w:t>
            </w:r>
          </w:p>
        </w:tc>
        <w:tc>
          <w:tcPr>
            <w:tcW w:w="1208"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最高限价（万元）</w:t>
            </w:r>
          </w:p>
        </w:tc>
        <w:tc>
          <w:tcPr>
            <w:tcW w:w="1957"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default" w:ascii="黑体" w:hAnsi="宋体" w:eastAsia="黑体" w:cs="黑体"/>
                <w:sz w:val="20"/>
                <w:lang w:val="en-US" w:eastAsia="zh-CN"/>
              </w:rPr>
            </w:pPr>
            <w:r>
              <w:rPr>
                <w:rFonts w:hint="eastAsia" w:ascii="黑体" w:hAnsi="宋体" w:eastAsia="黑体" w:cs="黑体"/>
                <w:sz w:val="20"/>
                <w:lang w:val="en-US" w:eastAsia="zh-CN"/>
              </w:rPr>
              <w:t>25</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序号</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需求名称</w:t>
            </w: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参数</w:t>
            </w:r>
          </w:p>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性质</w:t>
            </w:r>
          </w:p>
        </w:tc>
        <w:tc>
          <w:tcPr>
            <w:tcW w:w="441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需求具体内容</w:t>
            </w:r>
          </w:p>
        </w:tc>
        <w:tc>
          <w:tcPr>
            <w:tcW w:w="727" w:type="dxa"/>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是否</w:t>
            </w:r>
            <w:r>
              <w:rPr>
                <w:rFonts w:hint="eastAsia" w:ascii="黑体" w:hAnsi="宋体" w:eastAsia="黑体" w:cs="黑体"/>
                <w:kern w:val="0"/>
                <w:sz w:val="20"/>
                <w:lang w:bidi="ar"/>
              </w:rPr>
              <w:br w:type="textWrapping"/>
            </w:r>
            <w:r>
              <w:rPr>
                <w:rFonts w:hint="eastAsia" w:ascii="黑体" w:hAnsi="宋体" w:eastAsia="黑体" w:cs="黑体"/>
                <w:kern w:val="0"/>
                <w:sz w:val="20"/>
                <w:lang w:bidi="ar"/>
              </w:rPr>
              <w:t>量化</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备注（证明材料等其他要求）</w:t>
            </w:r>
          </w:p>
        </w:tc>
      </w:tr>
      <w:tr>
        <w:tblPrEx>
          <w:tblLayout w:type="fixed"/>
          <w:tblCellMar>
            <w:top w:w="0" w:type="dxa"/>
            <w:left w:w="108" w:type="dxa"/>
            <w:bottom w:w="0" w:type="dxa"/>
            <w:right w:w="108" w:type="dxa"/>
          </w:tblCellMar>
        </w:tblPrEx>
        <w:trPr>
          <w:trHeight w:val="500" w:hRule="atLeast"/>
        </w:trPr>
        <w:tc>
          <w:tcPr>
            <w:tcW w:w="9060"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技术要求</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kern w:val="0"/>
                <w:sz w:val="20"/>
                <w:lang w:bidi="ar"/>
              </w:rPr>
              <w:t>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基本要求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sz w:val="20"/>
              </w:rPr>
            </w:pPr>
            <w:r>
              <w:rPr>
                <w:rFonts w:hint="eastAsia" w:ascii="黑体" w:hAnsi="宋体" w:eastAsia="黑体" w:cs="黑体"/>
                <w:i/>
                <w:iCs/>
                <w:kern w:val="0"/>
                <w:sz w:val="20"/>
                <w:lang w:val="en-US" w:eastAsia="zh-CN" w:bidi="ar"/>
              </w:rPr>
              <w:t>抽吸柜内气体，四面负压腔全包围正压工作台，同时保护</w:t>
            </w:r>
            <w:r>
              <w:rPr>
                <w:rFonts w:hint="eastAsia" w:ascii="黑体" w:hAnsi="宋体" w:eastAsia="黑体" w:cs="黑体"/>
                <w:i/>
                <w:iCs/>
                <w:kern w:val="0"/>
                <w:sz w:val="20"/>
                <w:lang w:bidi="ar"/>
              </w:rPr>
              <w:t>实验中人员、标本及环境安全</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kern w:val="0"/>
                <w:sz w:val="20"/>
                <w:lang w:bidi="ar"/>
              </w:rPr>
              <w:t>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外排方式</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sz w:val="20"/>
              </w:rPr>
            </w:pPr>
            <w:r>
              <w:rPr>
                <w:rFonts w:hint="eastAsia" w:ascii="黑体" w:hAnsi="宋体" w:eastAsia="黑体" w:cs="黑体"/>
                <w:i/>
                <w:iCs/>
                <w:kern w:val="0"/>
                <w:sz w:val="20"/>
                <w:lang w:bidi="ar"/>
              </w:rPr>
              <w:t>B2型，100%外排</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kern w:val="0"/>
                <w:sz w:val="20"/>
                <w:lang w:bidi="ar"/>
              </w:rPr>
              <w:t>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highlight w:val="none"/>
                <w:lang w:bidi="ar"/>
              </w:rPr>
              <w:t>尺寸</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default" w:ascii="黑体" w:hAnsi="宋体" w:eastAsia="黑体" w:cs="黑体"/>
                <w:i/>
                <w:iCs/>
                <w:sz w:val="20"/>
                <w:lang w:val="en-US" w:eastAsia="zh-CN"/>
              </w:rPr>
            </w:pPr>
            <w:r>
              <w:rPr>
                <w:rFonts w:hint="eastAsia" w:ascii="黑体" w:hAnsi="宋体" w:eastAsia="黑体" w:cs="黑体"/>
                <w:i/>
                <w:iCs/>
                <w:kern w:val="0"/>
                <w:sz w:val="20"/>
                <w:lang w:val="en-US" w:eastAsia="zh-CN" w:bidi="ar"/>
              </w:rPr>
              <w:t>双人位操作台面宽度≥</w:t>
            </w:r>
            <w:r>
              <w:rPr>
                <w:rFonts w:hint="eastAsia" w:ascii="黑体" w:hAnsi="宋体" w:eastAsia="黑体" w:cs="黑体"/>
                <w:i/>
                <w:iCs/>
                <w:kern w:val="0"/>
                <w:sz w:val="20"/>
                <w:lang w:bidi="ar"/>
              </w:rPr>
              <w:t xml:space="preserve"> </w:t>
            </w:r>
            <w:r>
              <w:rPr>
                <w:rFonts w:hint="eastAsia" w:ascii="黑体" w:hAnsi="宋体" w:eastAsia="黑体" w:cs="黑体"/>
                <w:i/>
                <w:iCs/>
                <w:kern w:val="0"/>
                <w:sz w:val="20"/>
                <w:lang w:val="en-US" w:eastAsia="zh-CN" w:bidi="ar"/>
              </w:rPr>
              <w:t>1.7米</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kern w:val="0"/>
                <w:sz w:val="20"/>
                <w:lang w:bidi="ar"/>
              </w:rPr>
              <w:t>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台面距离地面高度</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default" w:ascii="黑体" w:hAnsi="宋体" w:eastAsia="黑体" w:cs="黑体"/>
                <w:i/>
                <w:iCs/>
                <w:sz w:val="20"/>
                <w:lang w:val="en-US" w:eastAsia="zh-CN"/>
              </w:rPr>
            </w:pPr>
            <w:r>
              <w:rPr>
                <w:rFonts w:hint="eastAsia" w:ascii="黑体" w:hAnsi="宋体" w:eastAsia="黑体" w:cs="黑体"/>
                <w:i/>
                <w:iCs/>
                <w:kern w:val="0"/>
                <w:sz w:val="20"/>
                <w:lang w:bidi="ar"/>
              </w:rPr>
              <w:t>7</w:t>
            </w:r>
            <w:r>
              <w:rPr>
                <w:rFonts w:hint="eastAsia" w:ascii="黑体" w:hAnsi="宋体" w:eastAsia="黑体" w:cs="黑体"/>
                <w:i/>
                <w:iCs/>
                <w:kern w:val="0"/>
                <w:sz w:val="20"/>
                <w:lang w:val="en-US" w:eastAsia="zh-CN" w:bidi="ar"/>
              </w:rPr>
              <w:t>50</w:t>
            </w:r>
            <w:r>
              <w:rPr>
                <w:rFonts w:hint="eastAsia" w:ascii="黑体" w:hAnsi="宋体" w:eastAsia="黑体" w:cs="黑体"/>
                <w:i/>
                <w:iCs/>
                <w:kern w:val="0"/>
                <w:sz w:val="20"/>
                <w:lang w:bidi="ar"/>
              </w:rPr>
              <w:t>mm</w:t>
            </w:r>
            <w:r>
              <w:rPr>
                <w:rFonts w:hint="eastAsia" w:ascii="黑体" w:hAnsi="宋体" w:eastAsia="黑体" w:cs="黑体"/>
                <w:i/>
                <w:iCs/>
                <w:kern w:val="0"/>
                <w:sz w:val="20"/>
                <w:lang w:eastAsia="zh-CN" w:bidi="ar"/>
              </w:rPr>
              <w:t>，</w:t>
            </w:r>
            <w:r>
              <w:rPr>
                <w:rFonts w:hint="eastAsia" w:ascii="黑体" w:hAnsi="宋体" w:eastAsia="黑体" w:cs="黑体"/>
                <w:i/>
                <w:iCs/>
                <w:kern w:val="0"/>
                <w:sz w:val="20"/>
                <w:lang w:val="en-US" w:eastAsia="zh-CN" w:bidi="ar"/>
              </w:rPr>
              <w:t>可配合安装环境调节。</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风机</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kern w:val="0"/>
                <w:sz w:val="20"/>
                <w:lang w:bidi="ar"/>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双直流风机，节能低噪音运行</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val="en-US" w:eastAsia="zh-CN" w:bidi="ar"/>
              </w:rPr>
            </w:pPr>
            <w:r>
              <w:rPr>
                <w:rFonts w:hint="eastAsia" w:ascii="黑体" w:hAnsi="黑体" w:eastAsia="黑体" w:cs="黑体"/>
                <w:kern w:val="0"/>
                <w:sz w:val="20"/>
                <w:lang w:val="en-US" w:eastAsia="zh-CN" w:bidi="ar"/>
              </w:rPr>
              <w:t>6</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default" w:ascii="黑体" w:hAnsi="黑体" w:eastAsia="黑体" w:cs="黑体"/>
                <w:kern w:val="0"/>
                <w:sz w:val="20"/>
                <w:lang w:val="en-US" w:eastAsia="zh-CN" w:bidi="ar"/>
              </w:rPr>
            </w:pPr>
            <w:r>
              <w:rPr>
                <w:rFonts w:hint="eastAsia" w:ascii="黑体" w:hAnsi="黑体" w:eastAsia="黑体" w:cs="黑体"/>
                <w:kern w:val="0"/>
                <w:sz w:val="20"/>
                <w:lang w:val="en-US" w:eastAsia="zh-CN" w:bidi="ar"/>
              </w:rPr>
              <w:t>抗菌安全措施</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i/>
                <w:iCs/>
                <w:kern w:val="0"/>
                <w:sz w:val="20"/>
                <w:lang w:eastAsia="zh-CN" w:bidi="ar"/>
              </w:rPr>
            </w:pPr>
            <w:r>
              <w:rPr>
                <w:rFonts w:hint="eastAsia" w:ascii="黑体" w:hAnsi="宋体" w:eastAsia="黑体" w:cs="黑体"/>
                <w:i/>
                <w:iCs/>
                <w:kern w:val="0"/>
                <w:sz w:val="20"/>
                <w:lang w:bidi="ar"/>
              </w:rPr>
              <w:t>抗菌涂料涂在涂装表面，大限度地减少细菌的滋长</w:t>
            </w:r>
            <w:r>
              <w:rPr>
                <w:rFonts w:hint="eastAsia" w:ascii="黑体" w:hAnsi="宋体" w:eastAsia="黑体" w:cs="黑体"/>
                <w:i/>
                <w:iCs/>
                <w:kern w:val="0"/>
                <w:sz w:val="20"/>
                <w:lang w:eastAsia="zh-CN" w:bidi="ar"/>
              </w:rPr>
              <w:t>，产品安全性测试（菌落数≤5CFU/次）和交叉污染测试（菌落数≤2CFU/次）</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黑体" w:hAnsi="宋体" w:eastAsia="黑体" w:cs="黑体"/>
                <w:i/>
                <w:iCs/>
                <w:kern w:val="0"/>
                <w:sz w:val="20"/>
                <w:lang w:bidi="ar"/>
              </w:rPr>
            </w:pP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val="en-US" w:eastAsia="zh-CN" w:bidi="ar"/>
              </w:rPr>
            </w:pPr>
            <w:r>
              <w:rPr>
                <w:rFonts w:hint="eastAsia" w:ascii="黑体" w:hAnsi="黑体" w:eastAsia="黑体" w:cs="黑体"/>
                <w:kern w:val="0"/>
                <w:sz w:val="20"/>
                <w:lang w:val="en-US" w:eastAsia="zh-CN" w:bidi="ar"/>
              </w:rPr>
              <w:t>7</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风速</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kern w:val="0"/>
                <w:sz w:val="20"/>
                <w:lang w:bidi="ar"/>
              </w:rPr>
            </w:pPr>
            <w:r>
              <w:rPr>
                <w:rFonts w:hint="eastAsia" w:ascii="黑体" w:hAnsi="黑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风速： 平均下降风速：0.33±0.025m/s； 平均吸入口风速0.53±0.025m/s</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宋体" w:eastAsia="黑体" w:cs="黑体"/>
                <w:i/>
                <w:iCs/>
                <w:kern w:val="2"/>
                <w:sz w:val="20"/>
                <w:lang w:val="en-US" w:eastAsia="zh-CN" w:bidi="ar-SA"/>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val="en-US" w:eastAsia="zh-CN" w:bidi="ar"/>
              </w:rPr>
            </w:pPr>
            <w:r>
              <w:rPr>
                <w:rFonts w:hint="eastAsia" w:ascii="黑体" w:hAnsi="黑体" w:eastAsia="黑体" w:cs="黑体"/>
                <w:kern w:val="0"/>
                <w:sz w:val="20"/>
                <w:lang w:val="en-US" w:eastAsia="zh-CN" w:bidi="ar"/>
              </w:rPr>
              <w:t>8</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过滤效率</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送风和排风过滤器均采用HEPA（ULPA）高效过滤器，对0.3μm（0.12）颗粒过滤效率≥99.999%（99.9995%）</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val="en-US" w:eastAsia="zh-CN" w:bidi="ar"/>
              </w:rPr>
            </w:pPr>
            <w:r>
              <w:rPr>
                <w:rFonts w:hint="eastAsia" w:ascii="黑体" w:hAnsi="黑体" w:eastAsia="黑体" w:cs="黑体"/>
                <w:kern w:val="0"/>
                <w:sz w:val="20"/>
                <w:lang w:val="en-US" w:eastAsia="zh-CN" w:bidi="ar"/>
              </w:rPr>
              <w:t>9</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柜体</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kern w:val="0"/>
                <w:sz w:val="20"/>
                <w:lang w:bidi="ar"/>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柜体采用10°倾斜角设计，符合人体工程学原理，视角更大，操作方便且更加人性化</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default" w:ascii="黑体" w:hAnsi="黑体" w:eastAsia="黑体" w:cs="黑体"/>
                <w:kern w:val="0"/>
                <w:sz w:val="20"/>
                <w:lang w:val="en-US" w:eastAsia="zh-CN" w:bidi="ar"/>
              </w:rPr>
            </w:pPr>
            <w:r>
              <w:rPr>
                <w:rFonts w:hint="eastAsia" w:ascii="黑体" w:hAnsi="黑体" w:eastAsia="黑体" w:cs="黑体"/>
                <w:kern w:val="0"/>
                <w:sz w:val="20"/>
                <w:lang w:val="en-US" w:eastAsia="zh-CN" w:bidi="ar"/>
              </w:rPr>
              <w:t>10</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前窗</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i/>
                <w:iCs/>
                <w:kern w:val="0"/>
                <w:sz w:val="20"/>
                <w:lang w:eastAsia="zh-CN" w:bidi="ar"/>
              </w:rPr>
            </w:pPr>
            <w:r>
              <w:rPr>
                <w:rFonts w:hint="eastAsia" w:ascii="黑体" w:hAnsi="宋体" w:eastAsia="黑体" w:cs="黑体"/>
                <w:i/>
                <w:iCs/>
                <w:kern w:val="0"/>
                <w:sz w:val="20"/>
                <w:lang w:bidi="ar"/>
              </w:rPr>
              <w:t>电动控制前窗玻璃门，可同时采用脚踏控制、按键控制；玻璃门升降到安全操作高度时，自动停止升降，且玻璃门升降时不用直接接触玻璃；前窗玻璃采用双层夹胶防爆安全玻璃</w:t>
            </w:r>
            <w:r>
              <w:rPr>
                <w:rFonts w:hint="eastAsia" w:ascii="黑体" w:hAnsi="宋体" w:eastAsia="黑体" w:cs="黑体"/>
                <w:i/>
                <w:iCs/>
                <w:kern w:val="0"/>
                <w:sz w:val="20"/>
                <w:lang w:eastAsia="zh-CN" w:bidi="ar"/>
              </w:rPr>
              <w:t>。</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157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default" w:ascii="黑体" w:hAnsi="黑体" w:eastAsia="黑体" w:cs="黑体"/>
                <w:kern w:val="0"/>
                <w:sz w:val="20"/>
                <w:lang w:val="en-US" w:eastAsia="zh-CN" w:bidi="ar"/>
              </w:rPr>
            </w:pPr>
            <w:r>
              <w:rPr>
                <w:rFonts w:hint="eastAsia" w:ascii="黑体" w:hAnsi="黑体" w:eastAsia="黑体" w:cs="黑体"/>
                <w:kern w:val="0"/>
                <w:sz w:val="20"/>
                <w:lang w:val="en-US" w:eastAsia="zh-CN" w:bidi="ar"/>
              </w:rPr>
              <w:t>11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触摸屏</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电容式触摸屏,显示气流流向动态，显示操作区的下降气流流速和流入气流流速，记录安全柜的整体运行时间，UV灯的运行时间，高效过滤器的运行时间，显示操作区的温度和湿度，显示送风和排风过滤器的阻力，时钟显示；运行状态全部显示。</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val="en-US" w:eastAsia="zh-CN" w:bidi="ar"/>
              </w:rPr>
            </w:pPr>
            <w:r>
              <w:rPr>
                <w:rFonts w:hint="eastAsia" w:ascii="黑体" w:hAnsi="黑体" w:eastAsia="黑体" w:cs="黑体"/>
                <w:kern w:val="0"/>
                <w:sz w:val="20"/>
                <w:lang w:bidi="ar"/>
              </w:rPr>
              <w:t>1</w:t>
            </w:r>
            <w:r>
              <w:rPr>
                <w:rFonts w:hint="eastAsia" w:ascii="黑体" w:hAnsi="黑体" w:eastAsia="黑体" w:cs="黑体"/>
                <w:kern w:val="0"/>
                <w:sz w:val="20"/>
                <w:lang w:val="en-US" w:eastAsia="zh-CN" w:bidi="ar"/>
              </w:rPr>
              <w:t>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断电恢复</w:t>
            </w:r>
          </w:p>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功能</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kern w:val="0"/>
                <w:sz w:val="20"/>
                <w:lang w:bidi="ar"/>
              </w:rPr>
            </w:pPr>
            <w:r>
              <w:rPr>
                <w:rFonts w:hint="eastAsia" w:ascii="黑体" w:hAnsi="黑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color w:val="auto"/>
                <w:kern w:val="0"/>
                <w:sz w:val="20"/>
                <w:highlight w:val="none"/>
                <w:lang w:bidi="ar"/>
              </w:rPr>
              <w:t>断电恢复功能：按键记忆功能、风机、日光、照明带掉电记忆功能，如果掉电后再通电有相应功能键开启会自动跳过密码进入主界面，并且有断电报警提示</w:t>
            </w:r>
            <w:r>
              <w:rPr>
                <w:rFonts w:hint="eastAsia" w:ascii="黑体" w:hAnsi="宋体" w:eastAsia="黑体" w:cs="黑体"/>
                <w:i/>
                <w:iCs/>
                <w:kern w:val="0"/>
                <w:sz w:val="20"/>
                <w:highlight w:val="none"/>
                <w:lang w:bidi="ar"/>
              </w:rPr>
              <w:t>。</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78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val="en-US" w:eastAsia="zh-CN" w:bidi="ar"/>
              </w:rPr>
            </w:pPr>
            <w:r>
              <w:rPr>
                <w:rFonts w:hint="eastAsia" w:ascii="黑体" w:hAnsi="黑体" w:eastAsia="黑体" w:cs="黑体"/>
                <w:kern w:val="0"/>
                <w:sz w:val="20"/>
                <w:lang w:bidi="ar"/>
              </w:rPr>
              <w:t>1</w:t>
            </w:r>
            <w:r>
              <w:rPr>
                <w:rFonts w:hint="eastAsia" w:ascii="黑体" w:hAnsi="黑体" w:eastAsia="黑体" w:cs="黑体"/>
                <w:kern w:val="0"/>
                <w:sz w:val="20"/>
                <w:lang w:val="en-US" w:eastAsia="zh-CN" w:bidi="ar"/>
              </w:rPr>
              <w:t>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锁屏功能</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kern w:val="0"/>
                <w:sz w:val="20"/>
                <w:lang w:bidi="ar"/>
              </w:rPr>
            </w:pPr>
            <w:r>
              <w:rPr>
                <w:rFonts w:hint="eastAsia" w:ascii="黑体" w:hAnsi="黑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轻触锁屏键，操作界面处于锁定状态，此时其他功能键处于锁定状态；防止误操作。</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val="en-US" w:eastAsia="zh-CN" w:bidi="ar"/>
              </w:rPr>
            </w:pPr>
            <w:r>
              <w:rPr>
                <w:rFonts w:hint="eastAsia" w:ascii="黑体" w:hAnsi="黑体" w:eastAsia="黑体" w:cs="黑体"/>
                <w:kern w:val="0"/>
                <w:sz w:val="20"/>
                <w:lang w:bidi="ar"/>
              </w:rPr>
              <w:t>1</w:t>
            </w:r>
            <w:r>
              <w:rPr>
                <w:rFonts w:hint="eastAsia" w:ascii="黑体" w:hAnsi="黑体" w:eastAsia="黑体" w:cs="黑体"/>
                <w:kern w:val="0"/>
                <w:sz w:val="20"/>
                <w:lang w:val="en-US" w:eastAsia="zh-CN" w:bidi="ar"/>
              </w:rPr>
              <w:t>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定时开关功能</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具有风机、紫外、插座的定时开关功能以及定时关机功能；风机与紫外预约定时，风机停止转动后，前窗玻璃自动关闭，紫外灯自动打开，定时时间结束后，紫外灯关闭；</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default" w:ascii="黑体" w:hAnsi="黑体" w:eastAsia="黑体" w:cs="黑体"/>
                <w:kern w:val="0"/>
                <w:sz w:val="20"/>
                <w:lang w:val="en-US" w:eastAsia="zh-CN" w:bidi="ar"/>
              </w:rPr>
            </w:pPr>
            <w:r>
              <w:rPr>
                <w:rFonts w:hint="eastAsia" w:ascii="黑体" w:hAnsi="黑体" w:eastAsia="黑体" w:cs="黑体"/>
                <w:kern w:val="0"/>
                <w:sz w:val="20"/>
                <w:lang w:val="en-US" w:eastAsia="zh-CN" w:bidi="ar"/>
              </w:rPr>
              <w:t>15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密码</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i/>
                <w:iCs/>
                <w:kern w:val="0"/>
                <w:sz w:val="20"/>
                <w:lang w:bidi="ar"/>
              </w:rPr>
              <w:t>用户密码修改，用户可以设置安全柜的开机密码</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default" w:ascii="黑体" w:hAnsi="黑体" w:eastAsia="黑体" w:cs="黑体"/>
                <w:kern w:val="0"/>
                <w:sz w:val="20"/>
                <w:lang w:val="en-US" w:eastAsia="zh-CN" w:bidi="ar"/>
              </w:rPr>
            </w:pPr>
            <w:r>
              <w:rPr>
                <w:rFonts w:hint="eastAsia" w:ascii="黑体" w:hAnsi="黑体" w:eastAsia="黑体" w:cs="黑体"/>
                <w:kern w:val="0"/>
                <w:sz w:val="20"/>
                <w:lang w:val="en-US" w:eastAsia="zh-CN" w:bidi="ar"/>
              </w:rPr>
              <w:t>16</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风速监测</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黑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i/>
                <w:iCs/>
                <w:kern w:val="0"/>
                <w:sz w:val="20"/>
                <w:lang w:bidi="ar"/>
              </w:rPr>
              <w:t>工作区和外排出风口处各配备一个高灵敏度、高精度的风速传感器，非压差传感器，真实、实时检测风速</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default" w:ascii="黑体" w:hAnsi="黑体" w:eastAsia="黑体" w:cs="黑体"/>
                <w:kern w:val="0"/>
                <w:sz w:val="20"/>
                <w:lang w:val="en-US" w:eastAsia="zh-CN" w:bidi="ar"/>
              </w:rPr>
            </w:pPr>
            <w:r>
              <w:rPr>
                <w:rFonts w:hint="eastAsia" w:ascii="黑体" w:hAnsi="黑体" w:eastAsia="黑体" w:cs="黑体"/>
                <w:kern w:val="0"/>
                <w:sz w:val="20"/>
                <w:lang w:val="en-US" w:eastAsia="zh-CN" w:bidi="ar"/>
              </w:rPr>
              <w:t>17</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完善的报警系统</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i/>
                <w:iCs/>
                <w:kern w:val="0"/>
                <w:sz w:val="20"/>
                <w:lang w:bidi="ar"/>
              </w:rPr>
              <w:t>安全高度报警、过滤器压力超高报警、过滤器失效更换报警、气流波动报警</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宋体" w:eastAsia="黑体" w:cs="黑体"/>
                <w:i/>
                <w:iCs/>
                <w:kern w:val="2"/>
                <w:sz w:val="20"/>
                <w:lang w:val="en-US" w:eastAsia="zh-CN" w:bidi="ar-SA"/>
              </w:rPr>
            </w:pPr>
            <w:r>
              <w:rPr>
                <w:rFonts w:hint="eastAsia" w:ascii="黑体" w:hAnsi="宋体" w:eastAsia="黑体" w:cs="黑体"/>
                <w:i/>
                <w:iCs/>
                <w:kern w:val="0"/>
                <w:sz w:val="20"/>
                <w:lang w:bidi="ar"/>
              </w:rPr>
              <w:t>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default" w:ascii="黑体" w:hAnsi="黑体" w:eastAsia="黑体" w:cs="黑体"/>
                <w:kern w:val="0"/>
                <w:sz w:val="20"/>
                <w:lang w:val="en-US" w:eastAsia="zh-CN" w:bidi="ar"/>
              </w:rPr>
            </w:pPr>
            <w:r>
              <w:rPr>
                <w:rFonts w:hint="eastAsia" w:ascii="黑体" w:hAnsi="黑体" w:eastAsia="黑体" w:cs="黑体"/>
                <w:kern w:val="0"/>
                <w:sz w:val="20"/>
                <w:lang w:val="en-US" w:eastAsia="zh-CN" w:bidi="ar"/>
              </w:rPr>
              <w:t>18</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互锁保护设计</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i/>
                <w:iCs/>
                <w:kern w:val="0"/>
                <w:sz w:val="20"/>
                <w:lang w:bidi="ar"/>
              </w:rPr>
              <w:t>安全柜风机与玻璃门互锁、紫外灯与安全柜玻璃门、风机及照明灯互锁</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default" w:ascii="黑体" w:hAnsi="黑体" w:eastAsia="黑体" w:cs="黑体"/>
                <w:kern w:val="0"/>
                <w:sz w:val="20"/>
                <w:lang w:val="en-US" w:eastAsia="zh-CN" w:bidi="ar"/>
              </w:rPr>
            </w:pPr>
            <w:r>
              <w:rPr>
                <w:rFonts w:hint="eastAsia" w:ascii="黑体" w:hAnsi="黑体" w:eastAsia="黑体" w:cs="黑体"/>
                <w:kern w:val="0"/>
                <w:sz w:val="20"/>
                <w:lang w:val="en-US" w:eastAsia="zh-CN" w:bidi="ar"/>
              </w:rPr>
              <w:t>19</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配置要求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宋体" w:hAnsi="宋体" w:cs="宋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i/>
                <w:iCs/>
                <w:kern w:val="0"/>
                <w:sz w:val="20"/>
                <w:lang w:eastAsia="zh-CN" w:bidi="ar"/>
              </w:rPr>
            </w:pPr>
            <w:r>
              <w:rPr>
                <w:rFonts w:hint="eastAsia" w:ascii="黑体" w:hAnsi="宋体" w:eastAsia="黑体" w:cs="黑体"/>
                <w:i/>
                <w:iCs/>
                <w:kern w:val="0"/>
                <w:sz w:val="20"/>
                <w:lang w:bidi="ar"/>
              </w:rPr>
              <w:t>主机1台、底座1套、内风机1台、外排风机1台、送风过滤器1套、排风过滤器1套、国标插座2个、遥控器1件、脚踏开关1件、紫外灯1件、照明灯2件、风速传感器2件</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default" w:ascii="黑体" w:hAnsi="宋体" w:eastAsia="黑体" w:cs="黑体"/>
                <w:i/>
                <w:iCs/>
                <w:kern w:val="0"/>
                <w:sz w:val="20"/>
                <w:lang w:val="en-US" w:eastAsia="zh-CN" w:bidi="ar"/>
              </w:rPr>
            </w:pPr>
            <w:r>
              <w:rPr>
                <w:rFonts w:hint="eastAsia" w:ascii="黑体" w:hAnsi="宋体" w:eastAsia="黑体" w:cs="黑体"/>
                <w:i/>
                <w:iCs/>
                <w:kern w:val="0"/>
                <w:sz w:val="20"/>
                <w:lang w:val="en-US" w:eastAsia="zh-CN" w:bidi="ar"/>
              </w:rPr>
              <w:t>企业承诺</w:t>
            </w:r>
          </w:p>
        </w:tc>
      </w:tr>
      <w:tr>
        <w:tblPrEx>
          <w:tblLayout w:type="fixed"/>
          <w:tblCellMar>
            <w:top w:w="0" w:type="dxa"/>
            <w:left w:w="108" w:type="dxa"/>
            <w:bottom w:w="0" w:type="dxa"/>
            <w:right w:w="108" w:type="dxa"/>
          </w:tblCellMar>
        </w:tblPrEx>
        <w:trPr>
          <w:trHeight w:val="109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default" w:ascii="黑体" w:hAnsi="宋体" w:eastAsia="黑体" w:cs="黑体"/>
                <w:sz w:val="20"/>
                <w:lang w:val="en-US" w:eastAsia="zh-CN"/>
              </w:rPr>
            </w:pPr>
            <w:r>
              <w:rPr>
                <w:rFonts w:hint="eastAsia" w:ascii="黑体" w:hAnsi="宋体" w:eastAsia="黑体" w:cs="黑体"/>
                <w:sz w:val="20"/>
                <w:lang w:val="en-US" w:eastAsia="zh-CN"/>
              </w:rPr>
              <w:t>20</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验收标准方法</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sz w:val="20"/>
              </w:rPr>
            </w:pPr>
            <w:r>
              <w:rPr>
                <w:rFonts w:hint="eastAsia" w:ascii="黑体" w:hAnsi="宋体" w:eastAsia="黑体" w:cs="黑体"/>
                <w:i/>
                <w:iCs/>
                <w:kern w:val="0"/>
                <w:sz w:val="20"/>
                <w:lang w:bidi="ar"/>
              </w:rPr>
              <w:t>按照投标文件、采购合同、质量标准等，组织对医疗设备进行质量验收，出具验收报告。验收过程中对于核心参数存疑需检测的，可委托地方具有相应检测能力的机构提供技术支持。</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default" w:ascii="黑体" w:hAnsi="宋体" w:eastAsia="黑体" w:cs="黑体"/>
                <w:i/>
                <w:iCs/>
                <w:kern w:val="0"/>
                <w:sz w:val="20"/>
                <w:lang w:val="en-US" w:eastAsia="zh-CN" w:bidi="ar"/>
              </w:rPr>
            </w:pPr>
            <w:r>
              <w:rPr>
                <w:rFonts w:hint="eastAsia" w:ascii="黑体" w:hAnsi="宋体" w:eastAsia="黑体" w:cs="黑体"/>
                <w:i/>
                <w:iCs/>
                <w:kern w:val="0"/>
                <w:sz w:val="20"/>
                <w:lang w:val="en-US" w:eastAsia="zh-CN" w:bidi="ar"/>
              </w:rPr>
              <w:t>企业承诺</w:t>
            </w:r>
          </w:p>
        </w:tc>
      </w:tr>
      <w:tr>
        <w:tblPrEx>
          <w:tblLayout w:type="fixed"/>
          <w:tblCellMar>
            <w:top w:w="0" w:type="dxa"/>
            <w:left w:w="108" w:type="dxa"/>
            <w:bottom w:w="0" w:type="dxa"/>
            <w:right w:w="108" w:type="dxa"/>
          </w:tblCellMar>
        </w:tblPrEx>
        <w:trPr>
          <w:trHeight w:val="500" w:hRule="atLeast"/>
        </w:trPr>
        <w:tc>
          <w:tcPr>
            <w:tcW w:w="9060"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经济要求</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sz w:val="20"/>
              </w:rPr>
              <w:t>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交货时间、交货地点</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sz w:val="20"/>
              </w:rPr>
            </w:pPr>
            <w:r>
              <w:rPr>
                <w:rFonts w:hint="eastAsia" w:ascii="黑体" w:hAnsi="宋体" w:eastAsia="黑体" w:cs="黑体"/>
                <w:i/>
                <w:iCs/>
                <w:kern w:val="0"/>
                <w:sz w:val="20"/>
                <w:lang w:bidi="ar"/>
              </w:rPr>
              <w:t>合同签订后</w:t>
            </w:r>
            <w:r>
              <w:rPr>
                <w:rFonts w:hint="eastAsia" w:ascii="黑体" w:hAnsi="宋体" w:eastAsia="黑体" w:cs="黑体"/>
                <w:i/>
                <w:iCs/>
                <w:kern w:val="0"/>
                <w:sz w:val="20"/>
                <w:lang w:val="en-US" w:eastAsia="zh-CN" w:bidi="ar"/>
              </w:rPr>
              <w:t>3</w:t>
            </w:r>
            <w:r>
              <w:rPr>
                <w:rFonts w:hint="eastAsia" w:ascii="黑体" w:hAnsi="宋体" w:eastAsia="黑体" w:cs="黑体"/>
                <w:i/>
                <w:iCs/>
                <w:kern w:val="0"/>
                <w:sz w:val="20"/>
                <w:lang w:bidi="ar"/>
              </w:rPr>
              <w:t>个月内交付，交付地点由甲方指定。</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highlight w:val="none"/>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企业承诺</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lang w:bidi="ar"/>
              </w:rPr>
            </w:pPr>
            <w:r>
              <w:rPr>
                <w:rFonts w:hint="eastAsia" w:ascii="黑体" w:hAnsi="黑体" w:eastAsia="黑体" w:cs="黑体"/>
                <w:sz w:val="20"/>
                <w:lang w:bidi="ar"/>
              </w:rPr>
              <w:t>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付款及结算方式</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sz w:val="20"/>
              </w:rPr>
            </w:pPr>
            <w:r>
              <w:rPr>
                <w:rFonts w:hint="eastAsia" w:ascii="黑体" w:hAnsi="宋体" w:eastAsia="黑体" w:cs="黑体"/>
                <w:i/>
                <w:iCs/>
                <w:kern w:val="0"/>
                <w:sz w:val="20"/>
                <w:highlight w:val="none"/>
                <w:lang w:bidi="ar"/>
              </w:rPr>
              <w:t>签订合同付（预付）</w:t>
            </w:r>
            <w:r>
              <w:rPr>
                <w:rFonts w:hint="eastAsia" w:ascii="黑体" w:hAnsi="宋体" w:eastAsia="黑体" w:cs="黑体"/>
                <w:i/>
                <w:iCs/>
                <w:kern w:val="0"/>
                <w:sz w:val="20"/>
                <w:highlight w:val="none"/>
                <w:lang w:val="en-US" w:eastAsia="zh-CN" w:bidi="ar"/>
              </w:rPr>
              <w:t>0</w:t>
            </w:r>
            <w:r>
              <w:rPr>
                <w:rFonts w:hint="eastAsia" w:ascii="黑体" w:hAnsi="宋体" w:eastAsia="黑体" w:cs="黑体"/>
                <w:i/>
                <w:iCs/>
                <w:kern w:val="0"/>
                <w:sz w:val="20"/>
                <w:highlight w:val="none"/>
                <w:lang w:bidi="ar"/>
              </w:rPr>
              <w:t>%，物资到货（服务</w:t>
            </w:r>
            <w:r>
              <w:rPr>
                <w:rFonts w:hint="eastAsia" w:ascii="黑体" w:hAnsi="宋体" w:eastAsia="黑体" w:cs="黑体"/>
                <w:i/>
                <w:iCs/>
                <w:kern w:val="0"/>
                <w:sz w:val="20"/>
                <w:highlight w:val="none"/>
                <w:lang w:val="en-US" w:eastAsia="zh-CN" w:bidi="ar"/>
              </w:rPr>
              <w:t>及安装</w:t>
            </w:r>
            <w:r>
              <w:rPr>
                <w:rFonts w:hint="eastAsia" w:ascii="黑体" w:hAnsi="宋体" w:eastAsia="黑体" w:cs="黑体"/>
                <w:i/>
                <w:iCs/>
                <w:kern w:val="0"/>
                <w:sz w:val="20"/>
                <w:highlight w:val="none"/>
                <w:lang w:bidi="ar"/>
              </w:rPr>
              <w:t>完成）验收后付</w:t>
            </w:r>
            <w:r>
              <w:rPr>
                <w:rFonts w:hint="eastAsia" w:ascii="黑体" w:hAnsi="宋体" w:eastAsia="黑体" w:cs="黑体"/>
                <w:i/>
                <w:iCs/>
                <w:kern w:val="0"/>
                <w:sz w:val="20"/>
                <w:highlight w:val="none"/>
                <w:lang w:val="en-US" w:eastAsia="zh-CN" w:bidi="ar"/>
              </w:rPr>
              <w:t>95</w:t>
            </w:r>
            <w:r>
              <w:rPr>
                <w:rFonts w:hint="eastAsia" w:ascii="黑体" w:hAnsi="宋体" w:eastAsia="黑体" w:cs="黑体"/>
                <w:i/>
                <w:iCs/>
                <w:kern w:val="0"/>
                <w:sz w:val="20"/>
                <w:highlight w:val="none"/>
                <w:lang w:bidi="ar"/>
              </w:rPr>
              <w:t>%。</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企业承诺</w:t>
            </w:r>
          </w:p>
        </w:tc>
      </w:tr>
      <w:tr>
        <w:tblPrEx>
          <w:tblLayout w:type="fixed"/>
          <w:tblCellMar>
            <w:top w:w="0" w:type="dxa"/>
            <w:left w:w="108" w:type="dxa"/>
            <w:bottom w:w="0" w:type="dxa"/>
            <w:right w:w="108" w:type="dxa"/>
          </w:tblCellMar>
        </w:tblPrEx>
        <w:trPr>
          <w:trHeight w:val="45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履约保证金/质量保证金</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i/>
                <w:iCs/>
                <w:kern w:val="0"/>
                <w:sz w:val="20"/>
                <w:lang w:eastAsia="zh-CN" w:bidi="ar"/>
              </w:rPr>
            </w:pPr>
            <w:r>
              <w:rPr>
                <w:rFonts w:hint="eastAsia" w:ascii="黑体" w:hAnsi="宋体" w:eastAsia="黑体" w:cs="黑体"/>
                <w:i/>
                <w:iCs/>
                <w:kern w:val="0"/>
                <w:sz w:val="20"/>
                <w:highlight w:val="none"/>
                <w:lang w:bidi="ar"/>
              </w:rPr>
              <w:t>验收合格后满</w:t>
            </w:r>
            <w:r>
              <w:rPr>
                <w:rFonts w:hint="eastAsia" w:ascii="黑体" w:hAnsi="宋体" w:eastAsia="黑体" w:cs="黑体"/>
                <w:i/>
                <w:iCs/>
                <w:kern w:val="0"/>
                <w:sz w:val="20"/>
                <w:highlight w:val="none"/>
                <w:lang w:val="en-US" w:eastAsia="zh-CN" w:bidi="ar"/>
              </w:rPr>
              <w:t>1</w:t>
            </w:r>
            <w:r>
              <w:rPr>
                <w:rFonts w:hint="eastAsia" w:ascii="黑体" w:hAnsi="宋体" w:eastAsia="黑体" w:cs="黑体"/>
                <w:i/>
                <w:iCs/>
                <w:kern w:val="0"/>
                <w:sz w:val="20"/>
                <w:highlight w:val="none"/>
                <w:lang w:bidi="ar"/>
              </w:rPr>
              <w:t>年无质量问题支付剩余</w:t>
            </w:r>
            <w:r>
              <w:rPr>
                <w:rFonts w:hint="eastAsia" w:ascii="黑体" w:hAnsi="宋体" w:eastAsia="黑体" w:cs="黑体"/>
                <w:i/>
                <w:iCs/>
                <w:kern w:val="0"/>
                <w:sz w:val="20"/>
                <w:highlight w:val="none"/>
                <w:lang w:val="en-US" w:eastAsia="zh-CN" w:bidi="ar"/>
              </w:rPr>
              <w:t>5</w:t>
            </w:r>
            <w:r>
              <w:rPr>
                <w:rFonts w:hint="eastAsia" w:ascii="黑体" w:hAnsi="宋体" w:eastAsia="黑体" w:cs="黑体"/>
                <w:i/>
                <w:iCs/>
                <w:kern w:val="0"/>
                <w:sz w:val="20"/>
                <w:highlight w:val="none"/>
                <w:lang w:bidi="ar"/>
              </w:rPr>
              <w:t>%</w:t>
            </w:r>
            <w:r>
              <w:rPr>
                <w:rFonts w:hint="eastAsia" w:ascii="黑体" w:hAnsi="宋体" w:eastAsia="黑体" w:cs="黑体"/>
                <w:i/>
                <w:iCs/>
                <w:kern w:val="0"/>
                <w:sz w:val="20"/>
                <w:highlight w:val="none"/>
                <w:lang w:eastAsia="zh-CN" w:bidi="ar"/>
              </w:rPr>
              <w:t>。</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企业承诺</w:t>
            </w:r>
          </w:p>
        </w:tc>
      </w:tr>
      <w:tr>
        <w:tblPrEx>
          <w:tblLayout w:type="fixed"/>
          <w:tblCellMar>
            <w:top w:w="0" w:type="dxa"/>
            <w:left w:w="108" w:type="dxa"/>
            <w:bottom w:w="0" w:type="dxa"/>
            <w:right w:w="108" w:type="dxa"/>
          </w:tblCellMar>
        </w:tblPrEx>
        <w:trPr>
          <w:trHeight w:val="45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sz w:val="20"/>
              </w:rPr>
              <w:t>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both"/>
              <w:textAlignment w:val="center"/>
              <w:rPr>
                <w:rFonts w:ascii="黑体" w:hAnsi="黑体" w:eastAsia="黑体" w:cs="黑体"/>
                <w:kern w:val="0"/>
                <w:sz w:val="20"/>
                <w:lang w:bidi="ar"/>
              </w:rPr>
            </w:pPr>
            <w:r>
              <w:rPr>
                <w:rFonts w:hint="eastAsia" w:ascii="黑体" w:hAnsi="黑体" w:eastAsia="黑体" w:cs="黑体"/>
                <w:kern w:val="0"/>
                <w:sz w:val="20"/>
                <w:lang w:bidi="ar"/>
              </w:rPr>
              <w:t>产品包装和运输要求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按照国家、行业相关标准规范，产品确保包装完好，运输确保不对产品造成损伤。</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企业承诺</w:t>
            </w:r>
          </w:p>
        </w:tc>
      </w:tr>
      <w:tr>
        <w:tblPrEx>
          <w:tblLayout w:type="fixed"/>
          <w:tblCellMar>
            <w:top w:w="0" w:type="dxa"/>
            <w:left w:w="108" w:type="dxa"/>
            <w:bottom w:w="0" w:type="dxa"/>
            <w:right w:w="108" w:type="dxa"/>
          </w:tblCellMar>
        </w:tblPrEx>
        <w:trPr>
          <w:trHeight w:val="45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sz w:val="20"/>
              </w:rPr>
              <w:t>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售后服务1</w:t>
            </w:r>
          </w:p>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sz w:val="20"/>
              </w:rPr>
            </w:pPr>
            <w:r>
              <w:rPr>
                <w:rFonts w:hint="eastAsia" w:ascii="黑体" w:hAnsi="宋体" w:eastAsia="黑体" w:cs="黑体"/>
                <w:i/>
                <w:iCs/>
                <w:kern w:val="0"/>
                <w:sz w:val="20"/>
                <w:highlight w:val="none"/>
                <w:lang w:val="en-US" w:eastAsia="zh-CN" w:bidi="ar"/>
              </w:rPr>
              <w:t>按照B2生物安全柜要求安装（排风系统配置安装，保证B2安全柜过滤和排风正常工作）</w:t>
            </w:r>
            <w:r>
              <w:rPr>
                <w:rFonts w:hint="eastAsia" w:ascii="黑体" w:hAnsi="宋体" w:eastAsia="黑体" w:cs="黑体"/>
                <w:i/>
                <w:iCs/>
                <w:kern w:val="0"/>
                <w:sz w:val="20"/>
                <w:lang w:val="en-US" w:eastAsia="zh-CN" w:bidi="ar"/>
              </w:rPr>
              <w:t>。</w:t>
            </w:r>
            <w:r>
              <w:rPr>
                <w:rFonts w:hint="eastAsia" w:ascii="黑体" w:hAnsi="宋体" w:eastAsia="黑体" w:cs="黑体"/>
                <w:i/>
                <w:iCs/>
                <w:kern w:val="0"/>
                <w:sz w:val="20"/>
                <w:lang w:bidi="ar"/>
              </w:rPr>
              <w:t>保修年限不低于</w:t>
            </w:r>
            <w:r>
              <w:rPr>
                <w:rFonts w:hint="eastAsia" w:ascii="黑体" w:hAnsi="宋体" w:eastAsia="黑体" w:cs="黑体"/>
                <w:i/>
                <w:iCs/>
                <w:kern w:val="0"/>
                <w:sz w:val="20"/>
                <w:lang w:val="en-US" w:eastAsia="zh-CN" w:bidi="ar"/>
              </w:rPr>
              <w:t>5</w:t>
            </w:r>
            <w:r>
              <w:rPr>
                <w:rFonts w:hint="eastAsia" w:ascii="黑体" w:hAnsi="宋体" w:eastAsia="黑体" w:cs="黑体"/>
                <w:i/>
                <w:iCs/>
                <w:kern w:val="0"/>
                <w:sz w:val="20"/>
                <w:lang w:bidi="ar"/>
              </w:rPr>
              <w:t>年，全年故障停机时间不高于5%（按365日/年计算)。</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原厂授权（企业承诺）</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sz w:val="20"/>
              </w:rPr>
              <w:t>6</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售后服务2</w:t>
            </w:r>
          </w:p>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default" w:ascii="黑体" w:hAnsi="宋体" w:eastAsia="黑体" w:cs="黑体"/>
                <w:i/>
                <w:iCs/>
                <w:sz w:val="20"/>
                <w:lang w:val="en-US" w:eastAsia="zh-CN"/>
              </w:rPr>
            </w:pPr>
            <w:r>
              <w:rPr>
                <w:rFonts w:hint="eastAsia" w:ascii="黑体" w:hAnsi="宋体" w:eastAsia="黑体" w:cs="黑体"/>
                <w:i/>
                <w:iCs/>
                <w:kern w:val="0"/>
                <w:sz w:val="20"/>
                <w:lang w:bidi="ar"/>
              </w:rPr>
              <w:t>保修期内免费提供定期维护保养服务，免费升级和维护软件，免费提供使用培训。</w:t>
            </w:r>
            <w:r>
              <w:rPr>
                <w:rFonts w:hint="eastAsia" w:ascii="黑体" w:hAnsi="宋体" w:eastAsia="黑体" w:cs="黑体"/>
                <w:i/>
                <w:iCs/>
                <w:kern w:val="0"/>
                <w:sz w:val="20"/>
                <w:lang w:val="en-US" w:eastAsia="zh-CN" w:bidi="ar"/>
              </w:rPr>
              <w:t>每年至少一次专业专业检测认证，确保安全柜的使用持续符合安全标准。</w:t>
            </w:r>
            <w:r>
              <w:rPr>
                <w:rFonts w:hint="eastAsia" w:ascii="黑体" w:hAnsi="宋体" w:eastAsia="黑体" w:cs="黑体"/>
                <w:b w:val="0"/>
                <w:bCs w:val="0"/>
                <w:i/>
                <w:iCs/>
                <w:kern w:val="0"/>
                <w:sz w:val="20"/>
                <w:lang w:val="en-US" w:eastAsia="zh-CN" w:bidi="ar"/>
              </w:rPr>
              <w:t>每年定期更换一次全套原装送风及排风滤芯并提供一次清洗服务至少4年（若机器提示滤芯更换需要配合使用需求提前更换）。</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企业承诺</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7</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售后服务3</w:t>
            </w:r>
          </w:p>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提供不少于</w:t>
            </w:r>
            <w:r>
              <w:rPr>
                <w:rFonts w:hint="eastAsia" w:ascii="黑体" w:hAnsi="宋体" w:eastAsia="黑体" w:cs="黑体"/>
                <w:i/>
                <w:iCs/>
                <w:kern w:val="0"/>
                <w:sz w:val="20"/>
                <w:lang w:val="en-US" w:eastAsia="zh-CN" w:bidi="ar"/>
              </w:rPr>
              <w:t>6</w:t>
            </w:r>
            <w:r>
              <w:rPr>
                <w:rFonts w:hint="eastAsia" w:ascii="黑体" w:hAnsi="宋体" w:eastAsia="黑体" w:cs="黑体"/>
                <w:i/>
                <w:iCs/>
                <w:kern w:val="0"/>
                <w:sz w:val="20"/>
                <w:lang w:bidi="ar"/>
              </w:rPr>
              <w:t>人次、</w:t>
            </w:r>
            <w:r>
              <w:rPr>
                <w:rFonts w:hint="eastAsia" w:ascii="黑体" w:hAnsi="宋体" w:eastAsia="黑体" w:cs="黑体"/>
                <w:i/>
                <w:iCs/>
                <w:kern w:val="0"/>
                <w:sz w:val="20"/>
                <w:lang w:val="en-US" w:eastAsia="zh-CN" w:bidi="ar"/>
              </w:rPr>
              <w:t>0.5</w:t>
            </w:r>
            <w:r>
              <w:rPr>
                <w:rFonts w:hint="eastAsia" w:ascii="黑体" w:hAnsi="宋体" w:eastAsia="黑体" w:cs="黑体"/>
                <w:i/>
                <w:iCs/>
                <w:kern w:val="0"/>
                <w:sz w:val="20"/>
                <w:lang w:bidi="ar"/>
              </w:rPr>
              <w:t>天的工程师维修培训。</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企业承诺</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sz w:val="20"/>
              </w:rPr>
              <w:t>8</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售后服务4</w:t>
            </w:r>
            <w:r>
              <w:rPr>
                <w:rFonts w:hint="eastAsia" w:ascii="黑体" w:hAnsi="黑体" w:eastAsia="黑体" w:cs="黑体"/>
                <w:kern w:val="0"/>
                <w:sz w:val="20"/>
                <w:lang w:bidi="ar"/>
              </w:rPr>
              <w:br w:type="textWrapping"/>
            </w:r>
            <w:r>
              <w:rPr>
                <w:rFonts w:hint="eastAsia" w:ascii="黑体" w:hAnsi="黑体" w:eastAsia="黑体" w:cs="黑体"/>
                <w:kern w:val="0"/>
                <w:sz w:val="20"/>
                <w:lang w:bidi="ar"/>
              </w:rPr>
              <w:t>（响应时间）</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黑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sz w:val="20"/>
              </w:rPr>
            </w:pPr>
            <w:r>
              <w:rPr>
                <w:rFonts w:hint="eastAsia" w:ascii="黑体" w:hAnsi="宋体" w:eastAsia="黑体" w:cs="黑体"/>
                <w:i/>
                <w:iCs/>
                <w:kern w:val="0"/>
                <w:sz w:val="20"/>
                <w:lang w:bidi="ar"/>
              </w:rPr>
              <w:t>维修响应时间≤</w:t>
            </w:r>
            <w:r>
              <w:rPr>
                <w:rFonts w:hint="eastAsia" w:ascii="黑体" w:hAnsi="宋体" w:eastAsia="黑体" w:cs="黑体"/>
                <w:i/>
                <w:iCs/>
                <w:kern w:val="0"/>
                <w:sz w:val="20"/>
                <w:lang w:val="en-US" w:eastAsia="zh-CN" w:bidi="ar"/>
              </w:rPr>
              <w:t>6</w:t>
            </w:r>
            <w:r>
              <w:rPr>
                <w:rFonts w:hint="eastAsia" w:ascii="黑体" w:hAnsi="宋体" w:eastAsia="黑体" w:cs="黑体"/>
                <w:i/>
                <w:iCs/>
                <w:kern w:val="0"/>
                <w:sz w:val="20"/>
                <w:lang w:bidi="ar"/>
              </w:rPr>
              <w:t>小时，维修到达现场时间≤</w:t>
            </w:r>
            <w:r>
              <w:rPr>
                <w:rFonts w:hint="eastAsia" w:ascii="黑体" w:hAnsi="宋体" w:eastAsia="黑体" w:cs="黑体"/>
                <w:i/>
                <w:iCs/>
                <w:kern w:val="0"/>
                <w:sz w:val="20"/>
                <w:lang w:val="en-US" w:eastAsia="zh-CN" w:bidi="ar"/>
              </w:rPr>
              <w:t>24</w:t>
            </w:r>
            <w:r>
              <w:rPr>
                <w:rFonts w:hint="eastAsia" w:ascii="黑体" w:hAnsi="宋体" w:eastAsia="黑体" w:cs="黑体"/>
                <w:i/>
                <w:iCs/>
                <w:kern w:val="0"/>
                <w:sz w:val="20"/>
                <w:lang w:bidi="ar"/>
              </w:rPr>
              <w:t>小时。</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企业承诺</w:t>
            </w:r>
          </w:p>
        </w:tc>
      </w:tr>
      <w:tr>
        <w:tblPrEx>
          <w:tblLayout w:type="fixed"/>
          <w:tblCellMar>
            <w:top w:w="0" w:type="dxa"/>
            <w:left w:w="108" w:type="dxa"/>
            <w:bottom w:w="0" w:type="dxa"/>
            <w:right w:w="108" w:type="dxa"/>
          </w:tblCellMar>
        </w:tblPrEx>
        <w:trPr>
          <w:trHeight w:val="72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9</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备品备件要求（零配件）</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由供应商承诺项目使用寿命周期内保证零配件供应。</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企业承诺</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10</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专用工具</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描述应提供的配套专修工具和使用工具。</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企业承诺</w:t>
            </w:r>
          </w:p>
        </w:tc>
      </w:tr>
      <w:tr>
        <w:tblPrEx>
          <w:tblLayout w:type="fixed"/>
          <w:tblCellMar>
            <w:top w:w="0" w:type="dxa"/>
            <w:left w:w="108" w:type="dxa"/>
            <w:bottom w:w="0" w:type="dxa"/>
            <w:right w:w="108" w:type="dxa"/>
          </w:tblCellMar>
        </w:tblPrEx>
        <w:trPr>
          <w:trHeight w:val="72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sz w:val="20"/>
              </w:rPr>
              <w:t>11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kern w:val="0"/>
                <w:sz w:val="20"/>
                <w:lang w:bidi="ar"/>
              </w:rPr>
              <w:t>保密要求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sz w:val="20"/>
              </w:rPr>
            </w:pPr>
            <w:r>
              <w:rPr>
                <w:rFonts w:hint="eastAsia" w:ascii="黑体" w:hAnsi="宋体" w:eastAsia="黑体" w:cs="黑体"/>
                <w:i/>
                <w:iCs/>
                <w:kern w:val="0"/>
                <w:sz w:val="20"/>
                <w:highlight w:val="none"/>
                <w:lang w:bidi="ar"/>
              </w:rPr>
              <w:t>无。</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保密资质</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sz w:val="20"/>
              </w:rPr>
              <w:t>12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知识产权</w:t>
            </w:r>
          </w:p>
          <w:p>
            <w:pPr>
              <w:widowControl/>
              <w:spacing w:line="240" w:lineRule="exact"/>
              <w:jc w:val="center"/>
              <w:textAlignment w:val="center"/>
              <w:rPr>
                <w:rFonts w:hint="eastAsia" w:ascii="黑体" w:hAnsi="黑体" w:eastAsia="黑体" w:cs="黑体"/>
                <w:kern w:val="0"/>
                <w:sz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报价供应商应当保证采购单位在使用该物资或其任何一部分时，不受第三方侵权指控。同时，报价供应商不得向第三方泄露采购机构提供的技术文件等材料。 基于项目合同履行形成的知识产权和其他权益，其权属归采购单位所有，法律另有规定的除外。</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
                <w:iCs/>
                <w:kern w:val="0"/>
                <w:sz w:val="20"/>
                <w:lang w:bidi="ar"/>
              </w:rPr>
              <w:t>专利证书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13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lang w:bidi="ar"/>
              </w:rPr>
            </w:pPr>
            <w:r>
              <w:rPr>
                <w:rFonts w:hint="eastAsia" w:ascii="黑体" w:hAnsi="黑体" w:eastAsia="黑体" w:cs="黑体"/>
                <w:kern w:val="0"/>
                <w:sz w:val="20"/>
                <w:lang w:bidi="ar"/>
              </w:rPr>
              <w:t>物资编目编码、打码贴签要求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本项目对物资的编目编码、打码贴签要求，报价供应商应当予以明确响应，相关费用包含在报价中。</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lang w:bidi="ar"/>
              </w:rPr>
            </w:pPr>
            <w:r>
              <w:rPr>
                <w:rFonts w:hint="eastAsia" w:ascii="黑体" w:hAnsi="宋体" w:eastAsia="黑体" w:cs="黑体"/>
                <w:i/>
                <w:iCs/>
                <w:kern w:val="0"/>
                <w:sz w:val="20"/>
                <w:lang w:bidi="ar"/>
              </w:rPr>
              <w:t>企业承诺</w:t>
            </w:r>
          </w:p>
        </w:tc>
      </w:tr>
    </w:tbl>
    <w:p>
      <w:pPr>
        <w:pStyle w:val="7"/>
        <w:rPr>
          <w:rFonts w:hint="default" w:ascii="方正小标宋简体" w:hAnsi="方正小标宋简体" w:eastAsia="方正小标宋简体" w:cs="方正小标宋简体"/>
          <w:sz w:val="2"/>
          <w:szCs w:val="2"/>
        </w:rPr>
      </w:pPr>
      <w:bookmarkStart w:id="0" w:name="_GoBack"/>
      <w:bookmarkEnd w:id="0"/>
    </w:p>
    <w:p>
      <w:pPr>
        <w:pStyle w:val="2"/>
        <w:spacing w:line="572" w:lineRule="exact"/>
        <w:ind w:left="0" w:leftChars="0" w:firstLine="0" w:firstLineChars="0"/>
        <w:rPr>
          <w:rFonts w:ascii="黑体" w:hAnsi="黑体" w:eastAsia="黑体" w:cs="黑体"/>
          <w:kern w:val="0"/>
          <w:sz w:val="32"/>
          <w:szCs w:val="32"/>
        </w:rPr>
      </w:pPr>
    </w:p>
    <w:p>
      <w:pPr>
        <w:pStyle w:val="2"/>
        <w:spacing w:line="572" w:lineRule="exact"/>
        <w:ind w:firstLine="640"/>
        <w:rPr>
          <w:rFonts w:ascii="黑体" w:hAnsi="黑体" w:eastAsia="黑体" w:cs="黑体"/>
          <w:kern w:val="0"/>
          <w:sz w:val="32"/>
          <w:szCs w:val="3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D02DE5-9789-400C-8188-2E71CCDDE9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0000000000000000000"/>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embedRegular r:id="rId2" w:fontKey="{F89E3E3B-C217-4134-8E8C-27A98E12522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宋体" w:hAnsi="宋体"/>
        <w:sz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CB2"/>
    <w:rsid w:val="000B5CB2"/>
    <w:rsid w:val="0025773D"/>
    <w:rsid w:val="00701D89"/>
    <w:rsid w:val="00B4178F"/>
    <w:rsid w:val="00C463E1"/>
    <w:rsid w:val="00F705B3"/>
    <w:rsid w:val="025A529E"/>
    <w:rsid w:val="031A4A2D"/>
    <w:rsid w:val="05CE0831"/>
    <w:rsid w:val="114D7958"/>
    <w:rsid w:val="11C455BB"/>
    <w:rsid w:val="18EF2828"/>
    <w:rsid w:val="1D41732E"/>
    <w:rsid w:val="241E3F25"/>
    <w:rsid w:val="26AF70B6"/>
    <w:rsid w:val="280D1263"/>
    <w:rsid w:val="2AD01929"/>
    <w:rsid w:val="2CF97C69"/>
    <w:rsid w:val="2D747312"/>
    <w:rsid w:val="2E023A39"/>
    <w:rsid w:val="302A1EA4"/>
    <w:rsid w:val="37022309"/>
    <w:rsid w:val="391B1AB4"/>
    <w:rsid w:val="39E25EBF"/>
    <w:rsid w:val="3AA54601"/>
    <w:rsid w:val="3BFD70BE"/>
    <w:rsid w:val="3C495460"/>
    <w:rsid w:val="3D7F5D29"/>
    <w:rsid w:val="3E920D36"/>
    <w:rsid w:val="4497022A"/>
    <w:rsid w:val="477B5067"/>
    <w:rsid w:val="48783370"/>
    <w:rsid w:val="49390B3E"/>
    <w:rsid w:val="4BE94912"/>
    <w:rsid w:val="4CA773BE"/>
    <w:rsid w:val="4CD7788D"/>
    <w:rsid w:val="4F2C6C47"/>
    <w:rsid w:val="505446A7"/>
    <w:rsid w:val="51F31669"/>
    <w:rsid w:val="521C76ED"/>
    <w:rsid w:val="5331304E"/>
    <w:rsid w:val="542D5243"/>
    <w:rsid w:val="544F3BE0"/>
    <w:rsid w:val="58FE6B97"/>
    <w:rsid w:val="615A5EAB"/>
    <w:rsid w:val="625F0942"/>
    <w:rsid w:val="62D33837"/>
    <w:rsid w:val="638035D4"/>
    <w:rsid w:val="647E7AED"/>
    <w:rsid w:val="686F6AD4"/>
    <w:rsid w:val="695D5F23"/>
    <w:rsid w:val="6B511AB7"/>
    <w:rsid w:val="6D262AD0"/>
    <w:rsid w:val="6F4453E8"/>
    <w:rsid w:val="6FB333EB"/>
    <w:rsid w:val="6FC87326"/>
    <w:rsid w:val="732D4BB8"/>
    <w:rsid w:val="78906B74"/>
    <w:rsid w:val="7B5335E9"/>
    <w:rsid w:val="7CC92489"/>
    <w:rsid w:val="7F0A3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line="400" w:lineRule="exact"/>
      <w:ind w:firstLine="600" w:firstLineChars="200"/>
    </w:pPr>
    <w:rPr>
      <w:rFonts w:ascii="FangSong_GB2312" w:eastAsia="FangSong_GB2312"/>
      <w:sz w:val="30"/>
    </w:r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Emphasis"/>
    <w:basedOn w:val="5"/>
    <w:qFormat/>
    <w:uiPriority w:val="0"/>
    <w:rPr>
      <w:i/>
    </w:rPr>
  </w:style>
  <w:style w:type="paragraph" w:customStyle="1" w:styleId="7">
    <w:name w:val="Default"/>
    <w:unhideWhenUsed/>
    <w:qFormat/>
    <w:uiPriority w:val="0"/>
    <w:pPr>
      <w:widowControl w:val="0"/>
      <w:autoSpaceDE w:val="0"/>
      <w:autoSpaceDN w:val="0"/>
    </w:pPr>
    <w:rPr>
      <w:rFonts w:hint="eastAsia" w:ascii="黑体" w:hAnsi="黑体" w:eastAsia="黑体" w:cs="Times New Roman"/>
      <w:color w:val="000000"/>
      <w:sz w:val="24"/>
      <w:szCs w:val="22"/>
      <w:lang w:val="en-US" w:eastAsia="zh-CN" w:bidi="ar-SA"/>
    </w:rPr>
  </w:style>
  <w:style w:type="character" w:customStyle="1" w:styleId="8">
    <w:name w:val="font111"/>
    <w:basedOn w:val="5"/>
    <w:qFormat/>
    <w:uiPriority w:val="0"/>
    <w:rPr>
      <w:rFonts w:hint="eastAsia" w:ascii="黑体" w:hAnsi="宋体" w:eastAsia="黑体" w:cs="黑体"/>
      <w:i/>
      <w:iCs/>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2433</Words>
  <Characters>2537</Characters>
  <Lines>20</Lines>
  <Paragraphs>5</Paragraphs>
  <TotalTime>69</TotalTime>
  <ScaleCrop>false</ScaleCrop>
  <LinksUpToDate>false</LinksUpToDate>
  <CharactersWithSpaces>2570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2024-03-07T12:41:00Z</dcterms:created>
  <dc:creator>DOCTOR</dc:creator>
  <cp:lastModifiedBy>玉鹏</cp:lastModifiedBy>
  <cp:lastPrinted>2026-04-02T03:10:00Z</cp:lastPrinted>
  <dcterms:modified xsi:type="dcterms:W3CDTF">2026-04-20T08:59:34Z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13F88A3027394697B137DE4B0505657E_13</vt:lpwstr>
  </property>
  <property fmtid="{D5CDD505-2E9C-101B-9397-08002B2CF9AE}" pid="4" name="KSOTemplateDocerSaveRecord">
    <vt:lpwstr>eyJoZGlkIjoiNDY0MzQwNDM3NzMyOTAwZGViMTFjZmY0M2U4NTllMzgiLCJ1c2VySWQiOiI5MTIwMjI5NTgifQ==</vt:lpwstr>
  </property>
</Properties>
</file>