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W w:w="10100" w:type="dxa"/>
        <w:jc w:val="center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3"/>
        <w:gridCol w:w="600"/>
        <w:gridCol w:w="567"/>
        <w:gridCol w:w="433"/>
        <w:gridCol w:w="1001"/>
        <w:gridCol w:w="966"/>
        <w:gridCol w:w="3250"/>
        <w:gridCol w:w="1467"/>
        <w:gridCol w:w="116"/>
        <w:gridCol w:w="351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33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001" w:type="dxa"/>
            <w:gridSpan w:val="3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2026-JQ06-F3006</w:t>
            </w:r>
          </w:p>
        </w:tc>
        <w:tc>
          <w:tcPr>
            <w:tcW w:w="96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3250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移动式大型C臂X线机维保</w:t>
            </w:r>
          </w:p>
        </w:tc>
        <w:tc>
          <w:tcPr>
            <w:tcW w:w="1583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2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6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67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整机全保（包含软件硬件、工作站等）,球管和第三方产品除外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资格要求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投标人具备医疗设备维修资质，并在过去3年内无无重大维修事故及法律纠纷发生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市场实力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具备同类设备的维保经验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开机率要求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≥95%（全年按365天计算，若不能达到规定开机天数，按超过部分两倍顺延保修期）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保养要求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提供每年至少4次维护保养服务，（每季度至少1次），维护保养记录（电子纸质各一份，包括技术参数、主要部件状态等）向医学工程室提交存档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设备日常维护要求1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color w:val="auto"/>
                <w:lang w:val="en-US" w:eastAsia="zh-CN" w:bidi="ar"/>
              </w:rPr>
              <w:t>中标人须提供7天×24小时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color w:val="auto"/>
                <w:lang w:val="en-US" w:eastAsia="zh-CN" w:bidi="ar"/>
              </w:rPr>
              <w:t>（含节假日）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color w:val="auto"/>
                <w:lang w:val="en-US" w:eastAsia="zh-CN" w:bidi="ar"/>
              </w:rPr>
              <w:t>的保修服务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设备日常维护要求2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lang w:val="en-US" w:eastAsia="zh-CN" w:bidi="ar"/>
              </w:rPr>
              <w:t>中标人须定期对设备影像及核心性能指标进行质量</w:t>
            </w:r>
            <w:r>
              <w:rPr>
                <w:rStyle w:val="13"/>
                <w:rFonts w:hint="eastAsia" w:asciiTheme="minorEastAsia" w:hAnsiTheme="minorEastAsia" w:eastAsiaTheme="minorEastAsia" w:cstheme="minorEastAsia"/>
                <w:lang w:val="en-US" w:eastAsia="zh-CN" w:bidi="ar"/>
              </w:rPr>
              <w:t>检查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设备服务要求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每次服务需通知医学工程室工程师参与,服务期内维修所涉及的人工费用、交通差旅费及备件费，均由投标人承担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风险防控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由于实际服务提供商的维修、保养、操作等原因给设备和人员带来的伤害，所造成的经济损失和法律责任由投标人全部承担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零备件要求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所更换的备件必须是原厂，满足设备运行要求，维修备件质保期≥3个月（该质保期与维保期结束无关）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服务期限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签订合同日起3年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8"/>
                <w:kern w:val="0"/>
                <w:sz w:val="20"/>
                <w:szCs w:val="20"/>
                <w:u w:val="none"/>
                <w:lang w:val="en-US" w:eastAsia="zh-CN" w:bidi="ar"/>
              </w:rPr>
              <w:t>三年合同期限内，每年分两阶段付款，第一阶段，合同签订生效满半年支付当年维保费用的50%，第二阶段，合同生效满1年，支付当年维保费剩余的50%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8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提供不少于2人次、5天的工程师维修培训。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8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84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维修响应时间≤1小时，维修到达现场时间≤8小时。</w:t>
            </w:r>
          </w:p>
        </w:tc>
        <w:tc>
          <w:tcPr>
            <w:tcW w:w="467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916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3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00" w:type="dxa"/>
            <w:gridSpan w:val="3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8067" w:type="dxa"/>
            <w:gridSpan w:val="7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▲标识的指标负偏离≥3项，投标企业技术分值为0分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 w:rightChars="0" w:firstLine="0" w:firstLineChars="0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F3987"/>
    <w:rsid w:val="19CA0BAD"/>
    <w:rsid w:val="20DE52D5"/>
    <w:rsid w:val="364E2173"/>
    <w:rsid w:val="479F61AB"/>
    <w:rsid w:val="5C195B52"/>
    <w:rsid w:val="6134384D"/>
    <w:rsid w:val="61FF3987"/>
    <w:rsid w:val="64B4110C"/>
    <w:rsid w:val="671D6288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7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81"/>
    <w:basedOn w:val="7"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3">
    <w:name w:val="font9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4">
    <w:name w:val="font1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2026-04-11T11:42:00Z</dcterms:created>
  <dc:creator>admin</dc:creator>
  <cp:lastModifiedBy>admin</cp:lastModifiedBy>
  <dcterms:modified xsi:type="dcterms:W3CDTF">2026-04-11T12:18:01Z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