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160" w:leftChars="-50" w:right="-160" w:rightChars="-50" w:firstLine="0" w:firstLineChars="0"/>
        <w:jc w:val="center"/>
        <w:textAlignment w:val="auto"/>
        <w:outlineLvl w:val="9"/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</w:rPr>
      </w:pPr>
      <w:bookmarkStart w:id="0" w:name="_GoBack"/>
      <w:r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  <w:lang w:val="en-US" w:eastAsia="zh-CN"/>
        </w:rPr>
        <w:t>采购需求表</w:t>
      </w:r>
    </w:p>
    <w:tbl>
      <w:tblPr>
        <w:tblW w:w="10125" w:type="dxa"/>
        <w:jc w:val="center"/>
        <w:tblInd w:w="-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5"/>
        <w:gridCol w:w="633"/>
        <w:gridCol w:w="537"/>
        <w:gridCol w:w="435"/>
        <w:gridCol w:w="1695"/>
        <w:gridCol w:w="885"/>
        <w:gridCol w:w="2640"/>
        <w:gridCol w:w="825"/>
        <w:gridCol w:w="465"/>
        <w:gridCol w:w="285"/>
        <w:gridCol w:w="1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68" w:type="dxa"/>
            <w:gridSpan w:val="2"/>
            <w:tcBorders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编号</w:t>
            </w:r>
          </w:p>
        </w:tc>
        <w:tc>
          <w:tcPr>
            <w:tcW w:w="2667" w:type="dxa"/>
            <w:gridSpan w:val="3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  <w:t>2026-JQ06-F5004</w:t>
            </w:r>
          </w:p>
        </w:tc>
        <w:tc>
          <w:tcPr>
            <w:tcW w:w="88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640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低温等离子灭菌器维保</w:t>
            </w:r>
          </w:p>
        </w:tc>
        <w:tc>
          <w:tcPr>
            <w:tcW w:w="1575" w:type="dxa"/>
            <w:gridSpan w:val="3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最高限价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1290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49.92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70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6045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46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量化</w:t>
            </w:r>
          </w:p>
        </w:tc>
        <w:tc>
          <w:tcPr>
            <w:tcW w:w="1575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25" w:type="dxa"/>
            <w:gridSpan w:val="11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170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基本要求</w:t>
            </w:r>
          </w:p>
        </w:tc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★</w:t>
            </w:r>
          </w:p>
        </w:tc>
        <w:tc>
          <w:tcPr>
            <w:tcW w:w="6045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强生低温等离子灭菌器100NX整机全保(包含低温等离子设备的所有维修以及配件更换、设备升级等)</w:t>
            </w:r>
          </w:p>
        </w:tc>
        <w:tc>
          <w:tcPr>
            <w:tcW w:w="46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否</w:t>
            </w:r>
          </w:p>
        </w:tc>
        <w:tc>
          <w:tcPr>
            <w:tcW w:w="1575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sz w:val="20"/>
                <w:szCs w:val="20"/>
                <w:u w:val="none"/>
                <w:lang w:val="en-US" w:eastAsia="zh-CN"/>
              </w:rPr>
              <w:t>提供保修服务方案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170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资格要求</w:t>
            </w:r>
          </w:p>
        </w:tc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★</w:t>
            </w:r>
          </w:p>
        </w:tc>
        <w:tc>
          <w:tcPr>
            <w:tcW w:w="6045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投标人具备医疗设备维修资质，并在过去三年内无无重大维修事故及法律纠纷发生</w:t>
            </w:r>
          </w:p>
        </w:tc>
        <w:tc>
          <w:tcPr>
            <w:tcW w:w="46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否</w:t>
            </w:r>
          </w:p>
        </w:tc>
        <w:tc>
          <w:tcPr>
            <w:tcW w:w="1575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sz w:val="20"/>
                <w:szCs w:val="20"/>
                <w:u w:val="none"/>
                <w:lang w:val="en-US" w:eastAsia="zh-CN"/>
              </w:rPr>
              <w:t>提供营业执照，过去三年内无重大维修事故及法律纠纷承诺书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170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市场实力</w:t>
            </w:r>
          </w:p>
        </w:tc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▲</w:t>
            </w:r>
          </w:p>
        </w:tc>
        <w:tc>
          <w:tcPr>
            <w:tcW w:w="6045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具备同品牌设备的维保经验，用户≥3家</w:t>
            </w:r>
          </w:p>
        </w:tc>
        <w:tc>
          <w:tcPr>
            <w:tcW w:w="46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否</w:t>
            </w:r>
          </w:p>
        </w:tc>
        <w:tc>
          <w:tcPr>
            <w:tcW w:w="1575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企业承诺书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170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开机率要求</w:t>
            </w:r>
          </w:p>
        </w:tc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★</w:t>
            </w:r>
          </w:p>
        </w:tc>
        <w:tc>
          <w:tcPr>
            <w:tcW w:w="6045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≥95%（全年按365天计算，若不能达到规定开机天数，按超过部分两倍顺延保修期）</w:t>
            </w:r>
          </w:p>
        </w:tc>
        <w:tc>
          <w:tcPr>
            <w:tcW w:w="46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否</w:t>
            </w:r>
          </w:p>
        </w:tc>
        <w:tc>
          <w:tcPr>
            <w:tcW w:w="1575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企业承诺书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170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保养要求</w:t>
            </w:r>
          </w:p>
        </w:tc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★</w:t>
            </w:r>
          </w:p>
        </w:tc>
        <w:tc>
          <w:tcPr>
            <w:tcW w:w="6045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提供每年至少2次维护保养服务，维护保养记录（电子纸质各一份，包括技术参数、主要部件状态等）向医学工程室提交存档</w:t>
            </w:r>
          </w:p>
        </w:tc>
        <w:tc>
          <w:tcPr>
            <w:tcW w:w="46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否</w:t>
            </w:r>
          </w:p>
        </w:tc>
        <w:tc>
          <w:tcPr>
            <w:tcW w:w="1575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企业承诺书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170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设备日常维护要求1</w:t>
            </w:r>
          </w:p>
        </w:tc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▲</w:t>
            </w:r>
          </w:p>
        </w:tc>
        <w:tc>
          <w:tcPr>
            <w:tcW w:w="6045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中标人须提供含节假日7天×24小时的保修服务</w:t>
            </w:r>
          </w:p>
        </w:tc>
        <w:tc>
          <w:tcPr>
            <w:tcW w:w="46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否</w:t>
            </w:r>
          </w:p>
        </w:tc>
        <w:tc>
          <w:tcPr>
            <w:tcW w:w="1575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企业承诺书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170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设备日常维护要求2</w:t>
            </w:r>
          </w:p>
        </w:tc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▲</w:t>
            </w:r>
          </w:p>
        </w:tc>
        <w:tc>
          <w:tcPr>
            <w:tcW w:w="6045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中标人须定期对设备性能指标进行质量检查</w:t>
            </w:r>
          </w:p>
        </w:tc>
        <w:tc>
          <w:tcPr>
            <w:tcW w:w="46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否</w:t>
            </w:r>
          </w:p>
        </w:tc>
        <w:tc>
          <w:tcPr>
            <w:tcW w:w="1575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企业承诺书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1170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设备服务要求</w:t>
            </w:r>
          </w:p>
        </w:tc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▲</w:t>
            </w:r>
          </w:p>
        </w:tc>
        <w:tc>
          <w:tcPr>
            <w:tcW w:w="6045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每次服务需通知医学工程室工程师参与，服务期内维修所涉及的人工费用、交通差旅费及备件费，均由投标人承担</w:t>
            </w:r>
          </w:p>
        </w:tc>
        <w:tc>
          <w:tcPr>
            <w:tcW w:w="46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否</w:t>
            </w:r>
          </w:p>
        </w:tc>
        <w:tc>
          <w:tcPr>
            <w:tcW w:w="1575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企业承诺书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1170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风险防控</w:t>
            </w:r>
          </w:p>
        </w:tc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★</w:t>
            </w:r>
          </w:p>
        </w:tc>
        <w:tc>
          <w:tcPr>
            <w:tcW w:w="6045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由于实际服务提供商的维修、保养、操作等原因给设备和人员带来的伤害，所造成的经济损失和法律责任由投标人全部承担</w:t>
            </w:r>
          </w:p>
        </w:tc>
        <w:tc>
          <w:tcPr>
            <w:tcW w:w="46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否</w:t>
            </w:r>
          </w:p>
        </w:tc>
        <w:tc>
          <w:tcPr>
            <w:tcW w:w="1575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企业承诺书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170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零备件要求</w:t>
            </w:r>
          </w:p>
        </w:tc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★</w:t>
            </w:r>
          </w:p>
        </w:tc>
        <w:tc>
          <w:tcPr>
            <w:tcW w:w="6045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所更换的备件必须是原厂全新备件，满足设备运行要求，维修备件质保期≥3个月（该质保期与维保期结束无关）</w:t>
            </w:r>
          </w:p>
        </w:tc>
        <w:tc>
          <w:tcPr>
            <w:tcW w:w="46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否</w:t>
            </w:r>
          </w:p>
        </w:tc>
        <w:tc>
          <w:tcPr>
            <w:tcW w:w="1575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企业承诺书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25" w:type="dxa"/>
            <w:gridSpan w:val="11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170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服务期限</w:t>
            </w:r>
          </w:p>
        </w:tc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★</w:t>
            </w:r>
          </w:p>
        </w:tc>
        <w:tc>
          <w:tcPr>
            <w:tcW w:w="6045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签订合同日起3年</w:t>
            </w:r>
          </w:p>
        </w:tc>
        <w:tc>
          <w:tcPr>
            <w:tcW w:w="46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否</w:t>
            </w:r>
          </w:p>
        </w:tc>
        <w:tc>
          <w:tcPr>
            <w:tcW w:w="1575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企业承诺书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170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付款及结算方式</w:t>
            </w:r>
          </w:p>
        </w:tc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★</w:t>
            </w:r>
          </w:p>
        </w:tc>
        <w:tc>
          <w:tcPr>
            <w:tcW w:w="6045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合同签订后每半年付款当年维保费50%</w:t>
            </w:r>
          </w:p>
        </w:tc>
        <w:tc>
          <w:tcPr>
            <w:tcW w:w="46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否</w:t>
            </w:r>
          </w:p>
        </w:tc>
        <w:tc>
          <w:tcPr>
            <w:tcW w:w="1575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企业承诺书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8" w:hRule="atLeast"/>
          <w:jc w:val="center"/>
        </w:trPr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170" w:type="dxa"/>
            <w:gridSpan w:val="2"/>
            <w:tcBorders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售后服务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（质保）</w:t>
            </w:r>
          </w:p>
        </w:tc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★</w:t>
            </w:r>
          </w:p>
        </w:tc>
        <w:tc>
          <w:tcPr>
            <w:tcW w:w="6045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提供不少于1人次、1天的工程师维修培训。</w:t>
            </w:r>
          </w:p>
        </w:tc>
        <w:tc>
          <w:tcPr>
            <w:tcW w:w="46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否</w:t>
            </w:r>
          </w:p>
        </w:tc>
        <w:tc>
          <w:tcPr>
            <w:tcW w:w="1575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企业承诺书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8" w:hRule="atLeast"/>
          <w:jc w:val="center"/>
        </w:trPr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170" w:type="dxa"/>
            <w:gridSpan w:val="2"/>
            <w:tcBorders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售后服务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（响应时间）</w:t>
            </w:r>
          </w:p>
        </w:tc>
        <w:tc>
          <w:tcPr>
            <w:tcW w:w="43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★</w:t>
            </w:r>
          </w:p>
        </w:tc>
        <w:tc>
          <w:tcPr>
            <w:tcW w:w="6045" w:type="dxa"/>
            <w:gridSpan w:val="4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维修响应时间≤1小时，维修到达现场时间≤8小时。</w:t>
            </w:r>
          </w:p>
        </w:tc>
        <w:tc>
          <w:tcPr>
            <w:tcW w:w="465" w:type="dxa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否</w:t>
            </w:r>
          </w:p>
        </w:tc>
        <w:tc>
          <w:tcPr>
            <w:tcW w:w="1575" w:type="dxa"/>
            <w:gridSpan w:val="2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企业承诺书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25" w:type="dxa"/>
            <w:gridSpan w:val="11"/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注：1.★指标为必须响应指标，任意一项不满足要求即做废标处理；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40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0"/>
                <w:szCs w:val="20"/>
              </w:rPr>
              <w:t>2.★及▲标识的指标，需逐条按备注要求提供证明材料，未明确的可由企业提供承诺；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Times New Roman'''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书体坊王学勤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剪纸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剪纸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简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繁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宋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头鱼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铁筋隶书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铁筋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静蕾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隶书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古印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经典繁行书">
    <w:altName w:val="宋体"/>
    <w:panose1 w:val="02010609010101010101"/>
    <w:charset w:val="86"/>
    <w:family w:val="auto"/>
    <w:pitch w:val="default"/>
    <w:sig w:usb0="00000000" w:usb1="00000000" w:usb2="0000001E" w:usb3="00000000" w:csb0="2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1A699A"/>
    <w:rsid w:val="19CA0BAD"/>
    <w:rsid w:val="20DE52D5"/>
    <w:rsid w:val="364E2173"/>
    <w:rsid w:val="479F61AB"/>
    <w:rsid w:val="6134384D"/>
    <w:rsid w:val="64B4110C"/>
    <w:rsid w:val="671D6288"/>
    <w:rsid w:val="691A699A"/>
    <w:rsid w:val="6FBC251C"/>
    <w:rsid w:val="7C9D0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left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Lines="0" w:beforeAutospacing="0" w:afterLines="0" w:afterAutospacing="0" w:line="560" w:lineRule="exact"/>
      <w:outlineLvl w:val="0"/>
    </w:pPr>
    <w:rPr>
      <w:rFonts w:ascii="Times New Roman" w:hAnsi="Times New Roman" w:eastAsia="方正小标宋简体" w:cs="Times New Roman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spacing w:beforeAutospacing="0" w:afterAutospacing="0" w:line="560" w:lineRule="exact"/>
      <w:ind w:firstLine="880" w:firstLineChars="200"/>
      <w:jc w:val="left"/>
      <w:outlineLvl w:val="1"/>
    </w:pPr>
    <w:rPr>
      <w:rFonts w:hint="eastAsia" w:ascii="宋体" w:hAnsi="宋体" w:eastAsia="黑体" w:cs="Times New Roman"/>
      <w:kern w:val="0"/>
      <w:szCs w:val="36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b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9">
    <w:name w:val="一级标题"/>
    <w:basedOn w:val="3"/>
    <w:next w:val="1"/>
    <w:qFormat/>
    <w:uiPriority w:val="0"/>
    <w:pPr>
      <w:spacing w:line="560" w:lineRule="exact"/>
      <w:ind w:firstLine="880" w:firstLineChars="200"/>
    </w:pPr>
    <w:rPr>
      <w:rFonts w:eastAsia="黑体" w:asciiTheme="minorAscii" w:hAnsiTheme="minorAscii"/>
      <w:sz w:val="32"/>
    </w:rPr>
  </w:style>
  <w:style w:type="paragraph" w:customStyle="1" w:styleId="10">
    <w:name w:val="样式1"/>
    <w:basedOn w:val="3"/>
    <w:next w:val="1"/>
    <w:qFormat/>
    <w:uiPriority w:val="0"/>
    <w:pPr>
      <w:spacing w:line="560" w:lineRule="exact"/>
      <w:ind w:firstLine="880" w:firstLineChars="200"/>
      <w:jc w:val="left"/>
    </w:pPr>
    <w:rPr>
      <w:rFonts w:eastAsia="黑体" w:asciiTheme="minorAscii" w:hAnsiTheme="minorAscii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2026-04-11T11:08:00Z</dcterms:created>
  <dc:creator>admin</dc:creator>
  <cp:lastModifiedBy>admin</cp:lastModifiedBy>
  <dcterms:modified xsi:type="dcterms:W3CDTF">2026-04-11T11:29:17Z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