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560" w:lineRule="exact"/>
        <w:ind w:firstLine="560"/>
        <w:rPr>
          <w:rFonts w:hint="eastAsia" w:ascii="宋体" w:hAnsi="宋体"/>
          <w:sz w:val="28"/>
          <w:szCs w:val="28"/>
          <w:lang w:val="zh-CN"/>
        </w:rPr>
      </w:pPr>
      <w:bookmarkStart w:id="0" w:name="_Toc112681847"/>
      <w:bookmarkStart w:id="1" w:name="_Toc113349540"/>
      <w:bookmarkStart w:id="2" w:name="_Toc20518"/>
      <w:bookmarkStart w:id="3" w:name="_Toc112768493"/>
      <w:bookmarkStart w:id="4" w:name="_Toc31915"/>
      <w:bookmarkStart w:id="5" w:name="_Toc5753"/>
      <w:bookmarkStart w:id="6" w:name="_Toc624"/>
      <w:bookmarkStart w:id="7" w:name="_Toc128151307"/>
      <w:bookmarkStart w:id="8" w:name="_Toc19477"/>
      <w:bookmarkStart w:id="9" w:name="_Toc16726"/>
      <w:bookmarkStart w:id="10" w:name="_Toc121476582"/>
      <w:bookmarkStart w:id="11" w:name="_Toc14187"/>
      <w:bookmarkStart w:id="12" w:name="_Toc32238"/>
      <w:r>
        <w:rPr>
          <w:rFonts w:hint="eastAsia" w:ascii="宋体" w:hAnsi="宋体"/>
          <w:sz w:val="28"/>
          <w:szCs w:val="28"/>
          <w:lang w:val="zh-CN"/>
        </w:rPr>
        <w:t>单一来源采购项目所有指标均不接受负偏离，经谈判后任意一项不满足采购文件要求，即按废标处理。</w:t>
      </w:r>
    </w:p>
    <w:p>
      <w:pPr>
        <w:tabs>
          <w:tab w:val="left" w:pos="0"/>
          <w:tab w:val="left" w:pos="846"/>
          <w:tab w:val="left" w:pos="1122"/>
        </w:tabs>
        <w:spacing w:line="560" w:lineRule="exact"/>
        <w:ind w:firstLine="560"/>
        <w:outlineLvl w:val="2"/>
        <w:rPr>
          <w:rFonts w:eastAsia="黑体"/>
          <w:b/>
          <w:sz w:val="28"/>
          <w:szCs w:val="28"/>
        </w:rPr>
      </w:pPr>
      <w:bookmarkStart w:id="13" w:name="_Toc18800"/>
      <w:r>
        <w:rPr>
          <w:rFonts w:hint="eastAsia" w:eastAsia="黑体"/>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p>
    <w:tbl>
      <w:tblPr>
        <w:tblStyle w:val="3"/>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0"/>
        <w:gridCol w:w="404"/>
        <w:gridCol w:w="1389"/>
        <w:gridCol w:w="847"/>
        <w:gridCol w:w="825"/>
        <w:gridCol w:w="3360"/>
        <w:gridCol w:w="1215"/>
        <w:gridCol w:w="200"/>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经济要求表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2026-JQ06-F5014</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流式细胞仪保修 BD（FACSAria Ⅱ）1台全保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交货时间、交货地点</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自合同期签定起生效至服务期满止，交付地点由甲方指定。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付款及结算方式</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合同签订生效满半年后支付当年保修费的50%，满一年后支付当年保修费余下的50%，以此类推。</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履约保证金和质量保证金</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除设备系统日志外,不许拷贝患者相关信息.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物资编目编码、打码贴签要求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本项目服务所含配套物资有编目编码、打码贴签要求的，</w:t>
            </w:r>
            <w:r>
              <w:rPr>
                <w:rFonts w:hint="eastAsia" w:cs="宋体" w:asciiTheme="minorEastAsia" w:hAnsiTheme="minorEastAsia"/>
                <w:color w:val="000000"/>
                <w:w w:val="90"/>
                <w:kern w:val="0"/>
                <w:sz w:val="20"/>
                <w:szCs w:val="20"/>
                <w:lang w:eastAsia="zh-CN"/>
              </w:rPr>
              <w:t>报价</w:t>
            </w:r>
            <w:r>
              <w:rPr>
                <w:rFonts w:hint="eastAsia" w:cs="宋体" w:asciiTheme="minorEastAsia" w:hAnsiTheme="minorEastAsia"/>
                <w:color w:val="000000"/>
                <w:w w:val="90"/>
                <w:kern w:val="0"/>
                <w:sz w:val="20"/>
                <w:szCs w:val="20"/>
              </w:rPr>
              <w:t>供应商应当予以明确响应，相关费用包含在报价中。</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知识产权和保密要求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对采购单位提供的人员、地址、采购情况等信息要保守秘密，不得向外界透露。中标通知书发出后，采购单位将与中标供应商签订保密协议。</w:t>
            </w:r>
          </w:p>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基于项目合同履行形成的知识产权和其他权益，其权属归采购单位所有，法律另有规定的除外。</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bl>
    <w:p>
      <w:pPr>
        <w:rPr>
          <w:rFonts w:hint="eastAsia"/>
        </w:rPr>
      </w:pPr>
    </w:p>
    <w:p>
      <w:pPr>
        <w:tabs>
          <w:tab w:val="left" w:pos="0"/>
          <w:tab w:val="left" w:pos="846"/>
          <w:tab w:val="left" w:pos="1122"/>
        </w:tabs>
        <w:spacing w:line="560" w:lineRule="exact"/>
        <w:ind w:firstLine="560"/>
        <w:outlineLvl w:val="2"/>
        <w:rPr>
          <w:rFonts w:eastAsia="黑体"/>
          <w:b/>
          <w:sz w:val="28"/>
          <w:szCs w:val="28"/>
        </w:rPr>
      </w:pPr>
      <w:bookmarkStart w:id="14" w:name="_Toc851"/>
      <w:bookmarkStart w:id="15" w:name="_Toc6548"/>
      <w:r>
        <w:rPr>
          <w:rFonts w:hint="eastAsia" w:eastAsia="黑体"/>
          <w:sz w:val="28"/>
          <w:szCs w:val="28"/>
        </w:rPr>
        <w:t>二、技术要求</w:t>
      </w:r>
      <w:bookmarkEnd w:id="14"/>
      <w:bookmarkEnd w:id="15"/>
    </w:p>
    <w:tbl>
      <w:tblPr>
        <w:tblStyle w:val="3"/>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44"/>
        <w:gridCol w:w="993"/>
        <w:gridCol w:w="791"/>
        <w:gridCol w:w="452"/>
        <w:gridCol w:w="825"/>
        <w:gridCol w:w="3360"/>
        <w:gridCol w:w="437"/>
        <w:gridCol w:w="682"/>
        <w:gridCol w:w="11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采购需求表（服务类）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2026-JQ06-F5014</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流式细胞仪保修 BD（FACSAria Ⅱ）1台全保</w:t>
            </w:r>
          </w:p>
        </w:tc>
        <w:tc>
          <w:tcPr>
            <w:tcW w:w="1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是否</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量化</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基本要求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lang w:eastAsia="zh-CN"/>
              </w:rPr>
              <w:t>全保服务，保修涵盖流式细胞仪所有需要更换的硬件</w:t>
            </w:r>
            <w:r>
              <w:rPr>
                <w:rFonts w:hint="eastAsia" w:ascii="黑体" w:hAnsi="宋体" w:eastAsia="黑体" w:cs="黑体"/>
                <w:iCs/>
                <w:kern w:val="0"/>
                <w:sz w:val="20"/>
                <w:szCs w:val="20"/>
                <w:lang w:val="en-US" w:eastAsia="zh-CN"/>
              </w:rPr>
              <w:t>,</w:t>
            </w:r>
            <w:r>
              <w:rPr>
                <w:rFonts w:hint="eastAsia" w:ascii="黑体" w:hAnsi="宋体" w:eastAsia="黑体" w:cs="黑体"/>
                <w:iCs/>
                <w:kern w:val="0"/>
                <w:sz w:val="20"/>
                <w:szCs w:val="20"/>
                <w:lang w:eastAsia="zh-CN"/>
              </w:rPr>
              <w:t>合同期内不再收取任何维保费用</w:t>
            </w:r>
            <w:r>
              <w:rPr>
                <w:rFonts w:hint="eastAsia" w:ascii="黑体" w:hAnsi="宋体" w:eastAsia="黑体" w:cs="黑体"/>
                <w:iCs/>
                <w:kern w:val="0"/>
                <w:sz w:val="20"/>
                <w:szCs w:val="20"/>
                <w:lang w:val="en-US" w:eastAsia="zh-CN"/>
              </w:rPr>
              <w:t>,</w:t>
            </w:r>
            <w:r>
              <w:rPr>
                <w:rFonts w:hint="eastAsia" w:ascii="黑体" w:hAnsi="宋体" w:eastAsia="黑体" w:cs="黑体"/>
                <w:iCs/>
                <w:kern w:val="0"/>
                <w:sz w:val="20"/>
                <w:szCs w:val="20"/>
              </w:rPr>
              <w:t>服务期3年</w:t>
            </w:r>
            <w:r>
              <w:rPr>
                <w:rFonts w:hint="eastAsia" w:ascii="黑体" w:hAnsi="宋体" w:eastAsia="黑体" w:cs="黑体"/>
                <w:iCs/>
                <w:kern w:val="0"/>
                <w:sz w:val="20"/>
                <w:szCs w:val="20"/>
                <w:lang w:val="en-US" w:eastAsia="zh-CN"/>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服务能力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投标人保证设备全年开机率≥95%，按一年365天计算，即全年累计停机时间≤18天。若超出上述承诺停机天数，超出一天顺延</w:t>
            </w:r>
            <w:r>
              <w:rPr>
                <w:rFonts w:hint="eastAsia" w:ascii="黑体" w:hAnsi="宋体" w:eastAsia="黑体" w:cs="黑体"/>
                <w:iCs/>
                <w:sz w:val="20"/>
                <w:szCs w:val="20"/>
                <w:lang w:eastAsia="zh-CN"/>
              </w:rPr>
              <w:t>≥</w:t>
            </w:r>
            <w:r>
              <w:rPr>
                <w:rFonts w:hint="eastAsia" w:ascii="黑体" w:hAnsi="宋体" w:eastAsia="黑体" w:cs="黑体"/>
                <w:iCs/>
                <w:sz w:val="20"/>
                <w:szCs w:val="20"/>
                <w:lang w:val="en-US" w:eastAsia="zh-CN"/>
              </w:rPr>
              <w:t>2</w:t>
            </w:r>
            <w:r>
              <w:rPr>
                <w:rFonts w:hint="eastAsia" w:ascii="黑体" w:hAnsi="宋体" w:eastAsia="黑体" w:cs="黑体"/>
                <w:iCs/>
                <w:sz w:val="20"/>
                <w:szCs w:val="20"/>
              </w:rPr>
              <w:t>天保修。</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技术实力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投标人在北京市内设有长期</w:t>
            </w:r>
            <w:r>
              <w:rPr>
                <w:rFonts w:hint="eastAsia" w:ascii="黑体" w:hAnsi="宋体" w:eastAsia="黑体" w:cs="黑体"/>
                <w:iCs/>
                <w:color w:val="auto"/>
                <w:sz w:val="20"/>
                <w:szCs w:val="20"/>
              </w:rPr>
              <w:t>稳定的服务机构≥2年，配备全职专业维修工程师≥4名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原厂培训证书及三个月内由</w:t>
            </w:r>
            <w:r>
              <w:rPr>
                <w:rFonts w:hint="eastAsia" w:ascii="黑体" w:hAnsi="宋体" w:eastAsia="黑体" w:cs="黑体"/>
                <w:iCs/>
                <w:sz w:val="20"/>
                <w:szCs w:val="20"/>
              </w:rPr>
              <w:t>实际服务机构</w:t>
            </w:r>
            <w:r>
              <w:rPr>
                <w:rFonts w:hint="eastAsia" w:ascii="黑体" w:hAnsi="宋体" w:eastAsia="黑体" w:cs="黑体"/>
                <w:iCs/>
                <w:sz w:val="20"/>
                <w:szCs w:val="20"/>
                <w:lang w:eastAsia="zh-CN"/>
              </w:rPr>
              <w:t>或</w:t>
            </w:r>
            <w:r>
              <w:rPr>
                <w:rFonts w:hint="eastAsia" w:ascii="黑体" w:hAnsi="宋体" w:eastAsia="黑体" w:cs="黑体"/>
                <w:iCs/>
                <w:kern w:val="0"/>
                <w:sz w:val="20"/>
                <w:szCs w:val="20"/>
              </w:rPr>
              <w:t>委托外服公司缴纳的社保证明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备件供应</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所更换的备件必须是原厂零配件，满足设备运行要求，且确保100%供应。</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备件保障</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耐用零配件，保修期≥6个月（自更换后保修不少于6个月，与维保服务结束无关），保修期内如再次故障，应免费维修或更换。；更换的易损件，保修期≥3个月（自更换后保修不少于3个月，与维保服务结束无关），保修期内如再次故障，应免费维修或更换。</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6</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保养服务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每年</w:t>
            </w:r>
            <w:r>
              <w:rPr>
                <w:rFonts w:hint="eastAsia" w:ascii="黑体" w:hAnsi="宋体" w:eastAsia="黑体" w:cs="黑体"/>
                <w:iCs/>
                <w:color w:val="auto"/>
                <w:kern w:val="0"/>
                <w:sz w:val="20"/>
                <w:szCs w:val="20"/>
              </w:rPr>
              <w:t>至少提供4次以</w:t>
            </w:r>
            <w:r>
              <w:rPr>
                <w:rFonts w:hint="eastAsia" w:ascii="黑体" w:hAnsi="宋体" w:eastAsia="黑体" w:cs="黑体"/>
                <w:iCs/>
                <w:kern w:val="0"/>
                <w:sz w:val="20"/>
                <w:szCs w:val="20"/>
              </w:rPr>
              <w:t>上的定期保养服务，包括设备安全检查、设备除尘保养、运行状态检查、及仪器各个组件的校准等；每半年向院方提供书面保养报告及整机质量评估报告。</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7</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响应时间</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投标人须提供7天×24小时的保修服务，及时派遣工程师进行电话指导或赴现场维修，且在接到报修电话后，响应时间≤2小时。</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8</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备件支持</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在有备件支持的情况下，一般故障维修时间≤12小时；重大故障维修时间≤72小时；即投标人应在72小时内将备件运送到现场并修复设备；提供突发性问题的解决措施及特殊紧急的合理化处理措施，按照院方合理需要，工程师8小时内抵达维修现场；所需更换配件24小时内发货</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ind w:firstLine="400" w:firstLineChars="20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sz w:val="20"/>
                <w:szCs w:val="20"/>
                <w:lang w:val="en-US" w:eastAsia="zh-CN"/>
              </w:rPr>
              <w:t>9</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保健任务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医疗保健任务时，投标公司须按照院方指定要求，无偿派遣工程师赴现场保障，确保设备正常运行。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ind w:firstLine="400" w:firstLineChars="20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sz w:val="20"/>
                <w:szCs w:val="20"/>
              </w:rPr>
              <w:t>1</w:t>
            </w:r>
            <w:r>
              <w:rPr>
                <w:rFonts w:hint="eastAsia"/>
                <w:sz w:val="20"/>
                <w:szCs w:val="20"/>
                <w:lang w:val="en-US" w:eastAsia="zh-CN"/>
              </w:rPr>
              <w:t>0</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风险责任</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投标人维修、保养、操作等原因给设备和人员带来的伤害所造成的损失由投标人无偿承担。</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服务点位</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甲方指定地点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服务人员</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投标人或实际服务机构针对本项目必须有≥</w:t>
            </w:r>
            <w:r>
              <w:rPr>
                <w:rFonts w:hint="eastAsia" w:ascii="黑体" w:hAnsi="宋体" w:eastAsia="黑体" w:cs="黑体"/>
                <w:iCs/>
                <w:kern w:val="0"/>
                <w:sz w:val="20"/>
                <w:szCs w:val="20"/>
                <w:lang w:val="en-US" w:eastAsia="zh-CN"/>
              </w:rPr>
              <w:t>2</w:t>
            </w:r>
            <w:r>
              <w:rPr>
                <w:rFonts w:hint="eastAsia" w:ascii="黑体" w:hAnsi="宋体" w:eastAsia="黑体" w:cs="黑体"/>
                <w:iCs/>
                <w:kern w:val="0"/>
                <w:sz w:val="20"/>
                <w:szCs w:val="20"/>
              </w:rPr>
              <w:t>名工程技术人员</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姓名及培训证书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保修经验</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同类型设备5台以上保修经验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lang w:eastAsia="zh-CN"/>
              </w:rPr>
              <w:t>保修合同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kern w:val="0"/>
                <w:sz w:val="20"/>
                <w:szCs w:val="20"/>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黑体" w:hAnsi="宋体" w:eastAsia="黑体" w:cs="黑体"/>
                <w:kern w:val="0"/>
                <w:sz w:val="20"/>
                <w:szCs w:val="20"/>
              </w:rPr>
            </w:pPr>
            <w:r>
              <w:rPr>
                <w:rFonts w:hint="eastAsia" w:ascii="黑体" w:hAnsi="宋体" w:eastAsia="黑体" w:cs="黑体"/>
                <w:kern w:val="0"/>
                <w:sz w:val="20"/>
                <w:szCs w:val="20"/>
              </w:rPr>
              <w:t>仓储实力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kern w:val="0"/>
                <w:sz w:val="20"/>
                <w:szCs w:val="20"/>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textAlignment w:val="center"/>
              <w:rPr>
                <w:rFonts w:hint="eastAsia" w:ascii="黑体" w:hAnsi="宋体" w:eastAsia="黑体" w:cs="黑体"/>
                <w:iCs/>
                <w:kern w:val="0"/>
                <w:sz w:val="20"/>
                <w:szCs w:val="20"/>
              </w:rPr>
            </w:pPr>
            <w:r>
              <w:rPr>
                <w:rFonts w:hint="eastAsia" w:ascii="黑体" w:hAnsi="宋体" w:eastAsia="黑体" w:cs="黑体"/>
                <w:kern w:val="0"/>
                <w:sz w:val="20"/>
                <w:szCs w:val="20"/>
              </w:rPr>
              <w:t>投标人必需在国内设有专业、充足的设备零备件仓库</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lang w:eastAsia="zh-CN"/>
              </w:rPr>
              <w:t>房屋购置或租赁材料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验收标准方法</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确保设备全年开机率≥95%，同时图像质量达到质控标准要求,完成定期保养</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color w:val="auto"/>
                <w:kern w:val="0"/>
                <w:sz w:val="20"/>
                <w:szCs w:val="20"/>
              </w:rPr>
              <w:t>2.★及▲标识的指标，需逐条按备注要求提供证明材料，未明确的可由企业提供承诺；</w:t>
            </w:r>
          </w:p>
        </w:tc>
      </w:tr>
    </w:tbl>
    <w:p>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E93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5">
    <w:name w:val="列出段落1"/>
    <w:basedOn w:val="1"/>
    <w:qFormat/>
    <w:uiPriority w:val="0"/>
    <w:pPr>
      <w:ind w:firstLine="420"/>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2026-04-23T00:02:22Z</dcterms:created>
  <dc:creator>admin</dc:creator>
  <cp:lastModifiedBy>admin</cp:lastModifiedBy>
  <dcterms:modified xsi:type="dcterms:W3CDTF">2026-04-23T00:03:51Z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