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Lines="50" w:afterLines="50" w:line="572" w:lineRule="exact"/>
        <w:jc w:val="center"/>
        <w:rPr>
          <w:rFonts w:ascii="方正小标宋简体" w:hAnsi="方正小标宋简体" w:eastAsia="方正小标宋简体" w:cs="方正小标宋简体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</w:rPr>
        <w:t>采购需求表（物资类）</w:t>
      </w:r>
    </w:p>
    <w:tbl>
      <w:tblPr>
        <w:tblStyle w:val="10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180"/>
        <w:gridCol w:w="489"/>
        <w:gridCol w:w="923"/>
        <w:gridCol w:w="709"/>
        <w:gridCol w:w="1134"/>
        <w:gridCol w:w="1959"/>
        <w:gridCol w:w="1208"/>
        <w:gridCol w:w="727"/>
        <w:gridCol w:w="123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060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60" w:lineRule="exact"/>
              <w:jc w:val="left"/>
              <w:textAlignment w:val="center"/>
              <w:rPr>
                <w:rFonts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highlight w:val="none"/>
              </w:rPr>
              <w:t>采购单位：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11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采购计划</w:t>
            </w:r>
            <w:r>
              <w:rPr>
                <w:rFonts w:hint="eastAsia"/>
                <w:highlight w:val="none"/>
              </w:rPr>
              <w:br w:type="textWrapping"/>
            </w:r>
            <w:r>
              <w:rPr>
                <w:rFonts w:hint="eastAsia"/>
                <w:highlight w:val="none"/>
              </w:rPr>
              <w:t>编号</w:t>
            </w:r>
          </w:p>
        </w:tc>
        <w:tc>
          <w:tcPr>
            <w:tcW w:w="16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highlight w:val="none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项目名称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 xml:space="preserve">  多参数监护仪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最高限价（万元）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49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序号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需求名称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性质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需求具体内容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是否</w:t>
            </w:r>
            <w:r>
              <w:rPr>
                <w:rFonts w:hint="eastAsia"/>
                <w:highlight w:val="none"/>
              </w:rPr>
              <w:br w:type="textWrapping"/>
            </w:r>
            <w:r>
              <w:rPr>
                <w:rFonts w:hint="eastAsia"/>
                <w:highlight w:val="none"/>
              </w:rPr>
              <w:t>量化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clear" w:pos="420"/>
              </w:tabs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  <w:highlight w:val="none"/>
              </w:rPr>
            </w:pP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基本要求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highlight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highlight w:val="none"/>
              </w:rPr>
              <w:t>★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用于实时监测患者各项生命体征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sz w:val="15"/>
                <w:szCs w:val="15"/>
                <w:highlight w:val="none"/>
              </w:rPr>
              <w:t>技术白皮书或</w:t>
            </w:r>
            <w:r>
              <w:rPr>
                <w:rFonts w:hint="eastAsia"/>
                <w:sz w:val="15"/>
                <w:szCs w:val="15"/>
                <w:highlight w:val="none"/>
                <w:lang w:eastAsia="zh-CN"/>
              </w:rPr>
              <w:t>生产</w:t>
            </w:r>
            <w:r>
              <w:rPr>
                <w:rFonts w:hint="eastAsia"/>
                <w:sz w:val="15"/>
                <w:szCs w:val="15"/>
                <w:highlight w:val="none"/>
              </w:rPr>
              <w:t>企业承诺</w:t>
            </w:r>
            <w:r>
              <w:rPr>
                <w:rFonts w:hint="eastAsia"/>
                <w:sz w:val="15"/>
                <w:szCs w:val="15"/>
                <w:highlight w:val="none"/>
                <w:lang w:eastAsia="zh-CN"/>
              </w:rPr>
              <w:t>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clear" w:pos="420"/>
              </w:tabs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sz w:val="20"/>
                <w:highlight w:val="none"/>
              </w:rPr>
            </w:pP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资质认证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highlight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highlight w:val="none"/>
              </w:rPr>
              <w:t>★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具备NMPA（CFDA）认证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clear" w:pos="420"/>
              </w:tabs>
              <w:spacing w:line="240" w:lineRule="exact"/>
              <w:jc w:val="center"/>
              <w:textAlignment w:val="center"/>
              <w:rPr>
                <w:rFonts w:ascii="黑体" w:hAnsi="黑体" w:eastAsia="黑体" w:cs="黑体"/>
                <w:kern w:val="0"/>
                <w:sz w:val="20"/>
                <w:highlight w:val="none"/>
              </w:rPr>
            </w:pP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主机结构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highlight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highlight w:val="none"/>
              </w:rPr>
              <w:t>★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主机显示屏一体式，无风扇设计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sz w:val="15"/>
                <w:szCs w:val="15"/>
                <w:highlight w:val="none"/>
              </w:rPr>
              <w:t>技术白皮书或</w:t>
            </w:r>
            <w:r>
              <w:rPr>
                <w:rFonts w:hint="eastAsia"/>
                <w:sz w:val="15"/>
                <w:szCs w:val="15"/>
                <w:highlight w:val="none"/>
                <w:lang w:eastAsia="zh-CN"/>
              </w:rPr>
              <w:t>生产</w:t>
            </w:r>
            <w:r>
              <w:rPr>
                <w:rFonts w:hint="eastAsia"/>
                <w:sz w:val="15"/>
                <w:szCs w:val="15"/>
                <w:highlight w:val="none"/>
              </w:rPr>
              <w:t>企业承诺</w:t>
            </w:r>
            <w:r>
              <w:rPr>
                <w:rFonts w:hint="eastAsia"/>
                <w:sz w:val="15"/>
                <w:szCs w:val="15"/>
                <w:highlight w:val="none"/>
                <w:lang w:eastAsia="zh-CN"/>
              </w:rPr>
              <w:t>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clear" w:pos="420"/>
              </w:tabs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highlight w:val="none"/>
              </w:rPr>
            </w:pP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监测功能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sz w:val="20"/>
                <w:highlight w:val="none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highlight w:val="none"/>
              </w:rPr>
              <w:t>▲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可监测心电、血氧、脉博、无创血压、呼吸、体温等生命体征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clear" w:pos="420"/>
              </w:tabs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highlight w:val="none"/>
              </w:rPr>
            </w:pP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患者类型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highlight w:val="none"/>
              </w:rPr>
            </w:pP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适用于成人、小儿、新生儿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clear" w:pos="420"/>
              </w:tabs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highlight w:val="none"/>
              </w:rPr>
            </w:pP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显示屏幕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highlight w:val="none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20"/>
                <w:highlight w:val="none"/>
              </w:rPr>
              <w:t>★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≥10英寸；彩色液晶触摸屏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sz w:val="15"/>
                <w:szCs w:val="15"/>
                <w:highlight w:val="none"/>
              </w:rPr>
            </w:pPr>
            <w:r>
              <w:rPr>
                <w:rFonts w:hint="eastAsia"/>
                <w:sz w:val="15"/>
                <w:szCs w:val="15"/>
                <w:highlight w:val="none"/>
              </w:rPr>
              <w:t>技术白皮书或</w:t>
            </w:r>
            <w:r>
              <w:rPr>
                <w:rFonts w:hint="eastAsia"/>
                <w:sz w:val="15"/>
                <w:szCs w:val="15"/>
                <w:highlight w:val="none"/>
                <w:lang w:eastAsia="zh-CN"/>
              </w:rPr>
              <w:t>生产</w:t>
            </w:r>
            <w:r>
              <w:rPr>
                <w:rFonts w:hint="eastAsia"/>
                <w:sz w:val="15"/>
                <w:szCs w:val="15"/>
                <w:highlight w:val="none"/>
              </w:rPr>
              <w:t>企业承诺</w:t>
            </w:r>
            <w:r>
              <w:rPr>
                <w:rFonts w:hint="eastAsia"/>
                <w:sz w:val="15"/>
                <w:szCs w:val="15"/>
                <w:highlight w:val="none"/>
                <w:lang w:eastAsia="zh-CN"/>
              </w:rPr>
              <w:t>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clear" w:pos="420"/>
              </w:tabs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highlight w:val="none"/>
              </w:rPr>
            </w:pP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分辨率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color w:val="000000"/>
                <w:kern w:val="0"/>
                <w:sz w:val="20"/>
                <w:highlight w:val="none"/>
              </w:rPr>
            </w:pP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≥800*600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clear" w:pos="420"/>
              </w:tabs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highlight w:val="none"/>
              </w:rPr>
            </w:pP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通道数量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highlight w:val="none"/>
              </w:rPr>
            </w:pP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同屏显示≥8通道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clear" w:pos="420"/>
              </w:tabs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highlight w:val="none"/>
              </w:rPr>
            </w:pP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心律测量范围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highlight w:val="none"/>
              </w:rPr>
            </w:pP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≥（30-200）次/分钟；误差≤±（示值的5%+1）次/分钟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clear" w:pos="420"/>
              </w:tabs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highlight w:val="none"/>
              </w:rPr>
            </w:pP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心律失常分析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highlight w:val="none"/>
              </w:rPr>
            </w:pP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≥25种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clear" w:pos="420"/>
              </w:tabs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highlight w:val="none"/>
              </w:rPr>
            </w:pP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QT/QTc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highlight w:val="none"/>
              </w:rPr>
            </w:pP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心电监护支持心率，ST段测量，心律失常分析，QT/QTc连续实时测量和对应报警功能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clear" w:pos="420"/>
              </w:tabs>
              <w:spacing w:line="240" w:lineRule="exact"/>
              <w:jc w:val="center"/>
              <w:textAlignment w:val="center"/>
              <w:rPr>
                <w:rFonts w:ascii="宋体" w:hAnsi="宋体" w:cs="宋体"/>
                <w:kern w:val="0"/>
                <w:sz w:val="20"/>
                <w:highlight w:val="none"/>
              </w:rPr>
            </w:pP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心电监测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highlight w:val="none"/>
              </w:rPr>
            </w:pP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支持3/5导心电监测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clear" w:pos="420"/>
              </w:tabs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highlight w:val="none"/>
              </w:rPr>
            </w:pP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血氧饱和度监测范围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highlight w:val="none"/>
              </w:rPr>
            </w:pP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（0-100%）；误差≤±2%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numPr>
                <w:ilvl w:val="0"/>
                <w:numId w:val="1"/>
              </w:numPr>
              <w:tabs>
                <w:tab w:val="clear" w:pos="420"/>
              </w:tabs>
              <w:spacing w:line="240" w:lineRule="exact"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highlight w:val="none"/>
              </w:rPr>
            </w:pP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脉搏监测范围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highlight w:val="none"/>
              </w:rPr>
            </w:pP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至少包含</w:t>
            </w:r>
            <w:r>
              <w:rPr>
                <w:rFonts w:hint="eastAsia"/>
                <w:highlight w:val="none"/>
              </w:rPr>
              <w:t xml:space="preserve">（30-200）次/分钟；误差≤±5% 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highlight w:val="none"/>
              </w:rPr>
              <w:t xml:space="preserve"> 15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无创血压测量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highlight w:val="none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0"/>
                <w:highlight w:val="none"/>
              </w:rPr>
              <w:t>▲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至少具备手动、自动、连续等测量模式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highlight w:val="none"/>
              </w:rPr>
              <w:t xml:space="preserve"> 16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静态压力范围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▲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至少包含</w:t>
            </w:r>
            <w:r>
              <w:rPr>
                <w:rFonts w:hint="eastAsia"/>
                <w:highlight w:val="none"/>
              </w:rPr>
              <w:t>（0-260mmHg）；误差≤±5mmHg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highlight w:val="none"/>
              </w:rPr>
              <w:t xml:space="preserve"> 17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过压保护功能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具备成人、小儿、新生儿分段过压保护功能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highlight w:val="none"/>
              </w:rPr>
              <w:t xml:space="preserve"> 18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呼吸频率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至少包含</w:t>
            </w:r>
            <w:r>
              <w:rPr>
                <w:rFonts w:hint="eastAsia"/>
                <w:highlight w:val="none"/>
              </w:rPr>
              <w:t>（0-60）次/分钟；误差≤±2次/分钟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highlight w:val="none"/>
              </w:rPr>
              <w:t xml:space="preserve"> 19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体温测量范围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▲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tabs>
                <w:tab w:val="left" w:pos="626"/>
              </w:tabs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  <w:lang w:eastAsia="zh-CN"/>
              </w:rPr>
              <w:t>包含</w:t>
            </w:r>
            <w:r>
              <w:rPr>
                <w:rFonts w:hint="eastAsia"/>
                <w:highlight w:val="none"/>
              </w:rPr>
              <w:t>（0-50℃）；误差≤±0.1℃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sz w:val="15"/>
                <w:szCs w:val="15"/>
                <w:highlight w:val="none"/>
              </w:rPr>
              <w:t>技术白皮书或</w:t>
            </w:r>
            <w:r>
              <w:rPr>
                <w:rFonts w:hint="eastAsia"/>
                <w:sz w:val="15"/>
                <w:szCs w:val="15"/>
                <w:highlight w:val="none"/>
                <w:lang w:eastAsia="zh-CN"/>
              </w:rPr>
              <w:t>生产</w:t>
            </w:r>
            <w:r>
              <w:rPr>
                <w:rFonts w:hint="eastAsia"/>
                <w:sz w:val="15"/>
                <w:szCs w:val="15"/>
                <w:highlight w:val="none"/>
              </w:rPr>
              <w:t>企业承诺</w:t>
            </w:r>
            <w:r>
              <w:rPr>
                <w:rFonts w:hint="eastAsia"/>
                <w:sz w:val="15"/>
                <w:szCs w:val="15"/>
                <w:highlight w:val="none"/>
                <w:lang w:eastAsia="zh-CN"/>
              </w:rPr>
              <w:t>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highlight w:val="none"/>
              </w:rPr>
              <w:t xml:space="preserve"> 20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抗电击程度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tabs>
                <w:tab w:val="left" w:pos="881"/>
              </w:tabs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ECG、TEMP、SpO2、NIBP监测参数抗电击程度为防除颤CF型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highlight w:val="none"/>
              </w:rPr>
              <w:t xml:space="preserve"> 21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主机电池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tabs>
                <w:tab w:val="left" w:pos="746"/>
              </w:tabs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内置锂电池，工作时间≥2小时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highlight w:val="none"/>
              </w:rPr>
              <w:t xml:space="preserve"> 22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整机重量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★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tabs>
                <w:tab w:val="left" w:pos="746"/>
              </w:tabs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≤5kg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15"/>
                <w:szCs w:val="15"/>
                <w:highlight w:val="none"/>
              </w:rPr>
            </w:pPr>
            <w:r>
              <w:rPr>
                <w:rFonts w:hint="eastAsia"/>
                <w:sz w:val="15"/>
                <w:szCs w:val="15"/>
                <w:highlight w:val="none"/>
              </w:rPr>
              <w:t>技术白皮书或</w:t>
            </w:r>
            <w:r>
              <w:rPr>
                <w:rFonts w:hint="eastAsia"/>
                <w:sz w:val="15"/>
                <w:szCs w:val="15"/>
                <w:highlight w:val="none"/>
                <w:lang w:eastAsia="zh-CN"/>
              </w:rPr>
              <w:t>生产</w:t>
            </w:r>
            <w:r>
              <w:rPr>
                <w:rFonts w:hint="eastAsia"/>
                <w:sz w:val="15"/>
                <w:szCs w:val="15"/>
                <w:highlight w:val="none"/>
              </w:rPr>
              <w:t>企业承诺</w:t>
            </w:r>
            <w:r>
              <w:rPr>
                <w:rFonts w:hint="eastAsia"/>
                <w:sz w:val="15"/>
                <w:szCs w:val="15"/>
                <w:highlight w:val="none"/>
                <w:lang w:eastAsia="zh-CN"/>
              </w:rPr>
              <w:t>或企业承诺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highlight w:val="none"/>
              </w:rPr>
              <w:t xml:space="preserve"> 23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防水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tabs>
                <w:tab w:val="left" w:pos="746"/>
              </w:tabs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至少满足IPX1</w:t>
            </w:r>
            <w:r>
              <w:rPr>
                <w:rFonts w:hint="eastAsia"/>
                <w:highlight w:val="none"/>
                <w:lang w:eastAsia="zh-CN"/>
              </w:rPr>
              <w:t>防水</w:t>
            </w:r>
            <w:r>
              <w:rPr>
                <w:rFonts w:hint="eastAsia"/>
                <w:highlight w:val="none"/>
              </w:rPr>
              <w:t>泼溅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highlight w:val="none"/>
              </w:rPr>
              <w:t xml:space="preserve"> 24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报警及安全指示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▲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具备声光分级报警，报警上下限可调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highlight w:val="none"/>
              </w:rPr>
              <w:t xml:space="preserve"> 25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物联功能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▲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具备；支持中央监护系统联网等功能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7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highlight w:val="none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highlight w:val="none"/>
              </w:rPr>
              <w:t xml:space="preserve"> 26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配置要求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★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监护仪主机35台，同品牌缆线（包含血压导管、血压袖套、成人血氧探头、血氧延长线、抗除颤</w:t>
            </w:r>
            <w:r>
              <w:rPr>
                <w:rFonts w:hint="eastAsia"/>
                <w:highlight w:val="none"/>
                <w:lang w:val="en-US" w:eastAsia="zh-CN"/>
              </w:rPr>
              <w:t>5导</w:t>
            </w:r>
            <w:r>
              <w:rPr>
                <w:rFonts w:hint="eastAsia"/>
                <w:highlight w:val="none"/>
              </w:rPr>
              <w:t>心电导联线、国标电源线、体温探头）35套，锂电池35块。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highlight w:val="none"/>
              </w:rPr>
            </w:pPr>
          </w:p>
          <w:p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配置清单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经济要求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交货时间、交货地点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★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合同签订后</w:t>
            </w: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个月内交付，交付地点由甲方指定。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产品包装和运输要求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★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按照国家、行业相关标准规范，产品确保包装完好，运输确保不对产品造成损伤。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付款及结算方式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★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物资到货（服务完成）验收后付95%。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履约保证金/质量保证金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★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pStyle w:val="2"/>
              <w:rPr>
                <w:rFonts w:hint="eastAsia" w:ascii="黑体" w:hAnsi="黑体" w:eastAsia="黑体" w:cs="黑体"/>
                <w:color w:val="auto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0"/>
                <w:szCs w:val="20"/>
                <w:highlight w:val="none"/>
              </w:rPr>
              <w:t>验收合格后满1年无质量问题支付剩余5%（不超过5%）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  <w:t>5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eastAsia="zh-CN"/>
              </w:rPr>
              <w:t>原厂保修年限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★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保修年限不低于3年，全年故障停机时间不高于5%（按365日/年计算)。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  <w:t>6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eastAsia="zh-CN"/>
              </w:rPr>
              <w:t>升级与软件维护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★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保修期内免费提供定期维护保养服务，免费升级和维护软件，免费提供使用培训。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eastAsia="zh-CN"/>
              </w:rPr>
              <w:t>维修培训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★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eastAsia="zh-CN"/>
              </w:rPr>
              <w:t>提供不少于</w:t>
            </w: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val="en-US" w:eastAsia="zh-CN"/>
              </w:rPr>
              <w:t>1人次的工程师维修培训。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eastAsia="zh-CN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eastAsia="zh-CN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eastAsia="zh-CN"/>
              </w:rPr>
              <w:t>到位维修响应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★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维修响应时间≤</w:t>
            </w: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val="en-US" w:eastAsia="zh-CN"/>
              </w:rPr>
              <w:t>24</w:t>
            </w: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小时，维修到达现场时间≤</w:t>
            </w: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val="en-US" w:eastAsia="zh-CN"/>
              </w:rPr>
              <w:t>48</w:t>
            </w: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小时。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备品备件要求（零配件）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★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由供应商承诺项目使用寿命周期内保证零配件供应。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pStyle w:val="2"/>
              <w:rPr>
                <w:rFonts w:hint="eastAsia" w:ascii="黑体" w:hAnsi="黑体" w:eastAsia="黑体" w:cs="黑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  <w:p>
            <w:pPr>
              <w:pStyle w:val="2"/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68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物资编目编码、打码贴签要求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★</w:t>
            </w:r>
          </w:p>
        </w:tc>
        <w:tc>
          <w:tcPr>
            <w:tcW w:w="430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highlight w:val="none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</w:tcPr>
          <w:p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ascii="黑体" w:hAnsi="黑体" w:eastAsia="黑体" w:cs="黑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  <w:t>采购实施建议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  <w:t>1</w:t>
            </w:r>
          </w:p>
        </w:tc>
        <w:tc>
          <w:tcPr>
            <w:tcW w:w="15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  <w:t>采购方式</w:t>
            </w:r>
          </w:p>
        </w:tc>
        <w:tc>
          <w:tcPr>
            <w:tcW w:w="696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  <w:t>□公开招标    □邀请招标    ☑竞争性谈判    □单一来源     □询价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  <w:t>2</w:t>
            </w:r>
          </w:p>
        </w:tc>
        <w:tc>
          <w:tcPr>
            <w:tcW w:w="15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  <w:t>评审方法</w:t>
            </w:r>
          </w:p>
        </w:tc>
        <w:tc>
          <w:tcPr>
            <w:tcW w:w="696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  <w:t>☑综合评分法      □质量优先法      □经评审的最低价法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  <w:t>3</w:t>
            </w:r>
          </w:p>
        </w:tc>
        <w:tc>
          <w:tcPr>
            <w:tcW w:w="15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  <w:t>技术偏离要求</w:t>
            </w:r>
          </w:p>
        </w:tc>
        <w:tc>
          <w:tcPr>
            <w:tcW w:w="69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  <w:t>▲标识的指标负偏离≥3项，投标企业技术分值为0分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  <w:t>▲标识的指标和“无标识”指标负偏离≥1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highlight w:val="none"/>
              </w:rPr>
              <w:t>项，投标企业技术分值为0分</w:t>
            </w:r>
          </w:p>
        </w:tc>
      </w:tr>
    </w:tbl>
    <w:p>
      <w:pPr>
        <w:pStyle w:val="4"/>
        <w:spacing w:beforeLines="50" w:afterLines="50" w:line="572" w:lineRule="exact"/>
        <w:ind w:firstLine="0" w:firstLineChars="0"/>
        <w:jc w:val="center"/>
        <w:rPr>
          <w:rFonts w:hAnsi="黑体"/>
          <w:color w:val="000000"/>
          <w:spacing w:val="-4"/>
          <w:sz w:val="32"/>
        </w:rPr>
      </w:pPr>
      <w:bookmarkStart w:id="0" w:name="_GoBack"/>
      <w:bookmarkEnd w:id="0"/>
    </w:p>
    <w:sectPr>
      <w:headerReference r:id="rId3" w:type="first"/>
      <w:footerReference r:id="rId4" w:type="first"/>
      <w:pgSz w:w="11906" w:h="16838"/>
      <w:pgMar w:top="2098" w:right="1474" w:bottom="1985" w:left="1588" w:header="709" w:footer="1304" w:gutter="0"/>
      <w:cols w:space="720" w:num="1"/>
      <w:titlePg/>
      <w:docGrid w:type="lines" w:linePitch="360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1"/>
      </w:pBdr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B34A7"/>
    <w:multiLevelType w:val="singleLevel"/>
    <w:tmpl w:val="1C4B34A7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NotTrackMoves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74F"/>
    <w:rsid w:val="00004B4E"/>
    <w:rsid w:val="00011417"/>
    <w:rsid w:val="00013619"/>
    <w:rsid w:val="000233BA"/>
    <w:rsid w:val="00031CAF"/>
    <w:rsid w:val="000330EC"/>
    <w:rsid w:val="000334B9"/>
    <w:rsid w:val="00040C9B"/>
    <w:rsid w:val="000555DE"/>
    <w:rsid w:val="00060F41"/>
    <w:rsid w:val="00064DD9"/>
    <w:rsid w:val="000664CA"/>
    <w:rsid w:val="00074B60"/>
    <w:rsid w:val="000777DB"/>
    <w:rsid w:val="00083060"/>
    <w:rsid w:val="00083FB9"/>
    <w:rsid w:val="000845F0"/>
    <w:rsid w:val="00091AF8"/>
    <w:rsid w:val="000A2713"/>
    <w:rsid w:val="000B20FE"/>
    <w:rsid w:val="000C4553"/>
    <w:rsid w:val="000C4D4D"/>
    <w:rsid w:val="000C4E61"/>
    <w:rsid w:val="000C5E20"/>
    <w:rsid w:val="000D25D8"/>
    <w:rsid w:val="000D50BD"/>
    <w:rsid w:val="000E2971"/>
    <w:rsid w:val="00101F64"/>
    <w:rsid w:val="001137E2"/>
    <w:rsid w:val="00115E1F"/>
    <w:rsid w:val="00130825"/>
    <w:rsid w:val="00133E73"/>
    <w:rsid w:val="00136961"/>
    <w:rsid w:val="00140722"/>
    <w:rsid w:val="00142A13"/>
    <w:rsid w:val="00145592"/>
    <w:rsid w:val="00152898"/>
    <w:rsid w:val="00165E4B"/>
    <w:rsid w:val="001A577C"/>
    <w:rsid w:val="001A5C1B"/>
    <w:rsid w:val="001B5218"/>
    <w:rsid w:val="001C7F4B"/>
    <w:rsid w:val="001D3A6C"/>
    <w:rsid w:val="001E2023"/>
    <w:rsid w:val="001E2304"/>
    <w:rsid w:val="001E4095"/>
    <w:rsid w:val="001E50A3"/>
    <w:rsid w:val="001E5DAD"/>
    <w:rsid w:val="001E6FE5"/>
    <w:rsid w:val="00206531"/>
    <w:rsid w:val="00216C54"/>
    <w:rsid w:val="002263F9"/>
    <w:rsid w:val="0022683F"/>
    <w:rsid w:val="00231E45"/>
    <w:rsid w:val="002369BE"/>
    <w:rsid w:val="00243068"/>
    <w:rsid w:val="00244F08"/>
    <w:rsid w:val="0024671B"/>
    <w:rsid w:val="00246B1D"/>
    <w:rsid w:val="00252DE7"/>
    <w:rsid w:val="00253AF2"/>
    <w:rsid w:val="00253F60"/>
    <w:rsid w:val="0025680B"/>
    <w:rsid w:val="002635FE"/>
    <w:rsid w:val="0026410D"/>
    <w:rsid w:val="00264344"/>
    <w:rsid w:val="00264698"/>
    <w:rsid w:val="00264EDB"/>
    <w:rsid w:val="0026780D"/>
    <w:rsid w:val="0027448A"/>
    <w:rsid w:val="00275E5F"/>
    <w:rsid w:val="002832F0"/>
    <w:rsid w:val="002864C8"/>
    <w:rsid w:val="00292A36"/>
    <w:rsid w:val="00292F95"/>
    <w:rsid w:val="002948E0"/>
    <w:rsid w:val="00295EBD"/>
    <w:rsid w:val="002A01AF"/>
    <w:rsid w:val="002A1794"/>
    <w:rsid w:val="002B2DC0"/>
    <w:rsid w:val="002B474F"/>
    <w:rsid w:val="002B5A98"/>
    <w:rsid w:val="002B666D"/>
    <w:rsid w:val="002B78AE"/>
    <w:rsid w:val="002C295C"/>
    <w:rsid w:val="002C4298"/>
    <w:rsid w:val="002C57C3"/>
    <w:rsid w:val="002C5FEF"/>
    <w:rsid w:val="002E170E"/>
    <w:rsid w:val="002F0E1A"/>
    <w:rsid w:val="002F17B8"/>
    <w:rsid w:val="002F5CE1"/>
    <w:rsid w:val="002F78F1"/>
    <w:rsid w:val="00303856"/>
    <w:rsid w:val="00304126"/>
    <w:rsid w:val="0030714B"/>
    <w:rsid w:val="0032486B"/>
    <w:rsid w:val="00332773"/>
    <w:rsid w:val="00334B02"/>
    <w:rsid w:val="0034002D"/>
    <w:rsid w:val="0034135B"/>
    <w:rsid w:val="003442EF"/>
    <w:rsid w:val="003457D1"/>
    <w:rsid w:val="0034711C"/>
    <w:rsid w:val="00347E35"/>
    <w:rsid w:val="00347FF3"/>
    <w:rsid w:val="00352734"/>
    <w:rsid w:val="00353C93"/>
    <w:rsid w:val="00356B8F"/>
    <w:rsid w:val="003671E6"/>
    <w:rsid w:val="0037007C"/>
    <w:rsid w:val="0038146C"/>
    <w:rsid w:val="00386BB1"/>
    <w:rsid w:val="003878FB"/>
    <w:rsid w:val="00390CD8"/>
    <w:rsid w:val="003935C5"/>
    <w:rsid w:val="00395B90"/>
    <w:rsid w:val="003A07A8"/>
    <w:rsid w:val="003A3E42"/>
    <w:rsid w:val="003A5193"/>
    <w:rsid w:val="003D2BCA"/>
    <w:rsid w:val="003D4E52"/>
    <w:rsid w:val="003D5B03"/>
    <w:rsid w:val="003D740A"/>
    <w:rsid w:val="003E2585"/>
    <w:rsid w:val="003E56E8"/>
    <w:rsid w:val="003E7EB2"/>
    <w:rsid w:val="003E7EC5"/>
    <w:rsid w:val="0040550E"/>
    <w:rsid w:val="00414F77"/>
    <w:rsid w:val="0042199C"/>
    <w:rsid w:val="004329F9"/>
    <w:rsid w:val="00442F26"/>
    <w:rsid w:val="00450766"/>
    <w:rsid w:val="00471A22"/>
    <w:rsid w:val="00473871"/>
    <w:rsid w:val="00476411"/>
    <w:rsid w:val="00484B37"/>
    <w:rsid w:val="00485350"/>
    <w:rsid w:val="00491A2C"/>
    <w:rsid w:val="004926A5"/>
    <w:rsid w:val="0049656A"/>
    <w:rsid w:val="004A7CF1"/>
    <w:rsid w:val="004C3097"/>
    <w:rsid w:val="004C3746"/>
    <w:rsid w:val="004C4939"/>
    <w:rsid w:val="004D405D"/>
    <w:rsid w:val="004D4DD4"/>
    <w:rsid w:val="004D6739"/>
    <w:rsid w:val="004D7860"/>
    <w:rsid w:val="004E306E"/>
    <w:rsid w:val="004E763F"/>
    <w:rsid w:val="004F0F4D"/>
    <w:rsid w:val="004F6952"/>
    <w:rsid w:val="00510168"/>
    <w:rsid w:val="00511A5B"/>
    <w:rsid w:val="005204E9"/>
    <w:rsid w:val="00522483"/>
    <w:rsid w:val="0052337B"/>
    <w:rsid w:val="005251C2"/>
    <w:rsid w:val="0053043F"/>
    <w:rsid w:val="005314C8"/>
    <w:rsid w:val="00532EB2"/>
    <w:rsid w:val="005335C9"/>
    <w:rsid w:val="00542219"/>
    <w:rsid w:val="00542433"/>
    <w:rsid w:val="00544855"/>
    <w:rsid w:val="00551A12"/>
    <w:rsid w:val="00553A72"/>
    <w:rsid w:val="00555316"/>
    <w:rsid w:val="00564B01"/>
    <w:rsid w:val="00577A02"/>
    <w:rsid w:val="00581F35"/>
    <w:rsid w:val="00585DA2"/>
    <w:rsid w:val="00596995"/>
    <w:rsid w:val="005A583F"/>
    <w:rsid w:val="005B0561"/>
    <w:rsid w:val="005B52A7"/>
    <w:rsid w:val="005B67E1"/>
    <w:rsid w:val="005C3503"/>
    <w:rsid w:val="005D279E"/>
    <w:rsid w:val="005E0E29"/>
    <w:rsid w:val="005E431F"/>
    <w:rsid w:val="005E6FD5"/>
    <w:rsid w:val="005E7B8E"/>
    <w:rsid w:val="005F45C1"/>
    <w:rsid w:val="005F7628"/>
    <w:rsid w:val="006048D1"/>
    <w:rsid w:val="0060545E"/>
    <w:rsid w:val="0062297B"/>
    <w:rsid w:val="0063021E"/>
    <w:rsid w:val="006357CE"/>
    <w:rsid w:val="00637B47"/>
    <w:rsid w:val="00641B01"/>
    <w:rsid w:val="0064398A"/>
    <w:rsid w:val="00650769"/>
    <w:rsid w:val="00656AE2"/>
    <w:rsid w:val="00666B6D"/>
    <w:rsid w:val="0067498C"/>
    <w:rsid w:val="006827B4"/>
    <w:rsid w:val="006873C0"/>
    <w:rsid w:val="0069082F"/>
    <w:rsid w:val="00692229"/>
    <w:rsid w:val="006A22FA"/>
    <w:rsid w:val="006B3BA3"/>
    <w:rsid w:val="006C206D"/>
    <w:rsid w:val="006C2BF9"/>
    <w:rsid w:val="006C3D78"/>
    <w:rsid w:val="006C45CC"/>
    <w:rsid w:val="006E00C2"/>
    <w:rsid w:val="006E1685"/>
    <w:rsid w:val="006E41B6"/>
    <w:rsid w:val="006E76A6"/>
    <w:rsid w:val="006F30BC"/>
    <w:rsid w:val="006F741A"/>
    <w:rsid w:val="00702D2D"/>
    <w:rsid w:val="007136E2"/>
    <w:rsid w:val="00721E8A"/>
    <w:rsid w:val="00725A9C"/>
    <w:rsid w:val="00727108"/>
    <w:rsid w:val="0073221C"/>
    <w:rsid w:val="00732644"/>
    <w:rsid w:val="007428EF"/>
    <w:rsid w:val="00744B0F"/>
    <w:rsid w:val="00752B27"/>
    <w:rsid w:val="007552AA"/>
    <w:rsid w:val="007606B1"/>
    <w:rsid w:val="00767C4E"/>
    <w:rsid w:val="00770867"/>
    <w:rsid w:val="007775C4"/>
    <w:rsid w:val="0078231A"/>
    <w:rsid w:val="00782AFA"/>
    <w:rsid w:val="00792694"/>
    <w:rsid w:val="0079789D"/>
    <w:rsid w:val="007A23FF"/>
    <w:rsid w:val="007A678F"/>
    <w:rsid w:val="007A7C89"/>
    <w:rsid w:val="007B0A92"/>
    <w:rsid w:val="007B6889"/>
    <w:rsid w:val="007B74C9"/>
    <w:rsid w:val="007D3E49"/>
    <w:rsid w:val="007E5223"/>
    <w:rsid w:val="007E58D7"/>
    <w:rsid w:val="008027A3"/>
    <w:rsid w:val="0081204F"/>
    <w:rsid w:val="00812665"/>
    <w:rsid w:val="008137CB"/>
    <w:rsid w:val="00814437"/>
    <w:rsid w:val="00823184"/>
    <w:rsid w:val="008357E0"/>
    <w:rsid w:val="00842503"/>
    <w:rsid w:val="00846395"/>
    <w:rsid w:val="00852B81"/>
    <w:rsid w:val="00857784"/>
    <w:rsid w:val="00871947"/>
    <w:rsid w:val="0088264B"/>
    <w:rsid w:val="00884689"/>
    <w:rsid w:val="00886A5D"/>
    <w:rsid w:val="00897611"/>
    <w:rsid w:val="008A0AA7"/>
    <w:rsid w:val="008A2F4E"/>
    <w:rsid w:val="008A6A80"/>
    <w:rsid w:val="008B02F7"/>
    <w:rsid w:val="008B6590"/>
    <w:rsid w:val="008C4A36"/>
    <w:rsid w:val="008C5594"/>
    <w:rsid w:val="008C7A71"/>
    <w:rsid w:val="008D0999"/>
    <w:rsid w:val="008D1614"/>
    <w:rsid w:val="008D2017"/>
    <w:rsid w:val="008D24DC"/>
    <w:rsid w:val="008D4AE9"/>
    <w:rsid w:val="008D66AF"/>
    <w:rsid w:val="008E2817"/>
    <w:rsid w:val="008E28C4"/>
    <w:rsid w:val="008E79F1"/>
    <w:rsid w:val="009015A5"/>
    <w:rsid w:val="0090713D"/>
    <w:rsid w:val="00915F73"/>
    <w:rsid w:val="009334DB"/>
    <w:rsid w:val="00936B82"/>
    <w:rsid w:val="009376DD"/>
    <w:rsid w:val="009414CC"/>
    <w:rsid w:val="00942353"/>
    <w:rsid w:val="00950B35"/>
    <w:rsid w:val="0095673E"/>
    <w:rsid w:val="00956769"/>
    <w:rsid w:val="009604FB"/>
    <w:rsid w:val="00962AC4"/>
    <w:rsid w:val="0096594E"/>
    <w:rsid w:val="00965DED"/>
    <w:rsid w:val="009716E4"/>
    <w:rsid w:val="009729B3"/>
    <w:rsid w:val="0097312C"/>
    <w:rsid w:val="00992C1E"/>
    <w:rsid w:val="00995CC5"/>
    <w:rsid w:val="009A3221"/>
    <w:rsid w:val="009B28C7"/>
    <w:rsid w:val="009B4E79"/>
    <w:rsid w:val="009D149A"/>
    <w:rsid w:val="009D173F"/>
    <w:rsid w:val="009D655D"/>
    <w:rsid w:val="009F0493"/>
    <w:rsid w:val="009F17B5"/>
    <w:rsid w:val="009F5AD8"/>
    <w:rsid w:val="00A01624"/>
    <w:rsid w:val="00A06B0C"/>
    <w:rsid w:val="00A12D20"/>
    <w:rsid w:val="00A152B7"/>
    <w:rsid w:val="00A21B33"/>
    <w:rsid w:val="00A23673"/>
    <w:rsid w:val="00A252D6"/>
    <w:rsid w:val="00A26792"/>
    <w:rsid w:val="00A33249"/>
    <w:rsid w:val="00A348E8"/>
    <w:rsid w:val="00A353B6"/>
    <w:rsid w:val="00A37E4D"/>
    <w:rsid w:val="00A409FC"/>
    <w:rsid w:val="00A518DA"/>
    <w:rsid w:val="00A56B28"/>
    <w:rsid w:val="00A56B7A"/>
    <w:rsid w:val="00A6200B"/>
    <w:rsid w:val="00A626A7"/>
    <w:rsid w:val="00A6501E"/>
    <w:rsid w:val="00A72D79"/>
    <w:rsid w:val="00A7648A"/>
    <w:rsid w:val="00A85135"/>
    <w:rsid w:val="00A9209A"/>
    <w:rsid w:val="00A974C3"/>
    <w:rsid w:val="00AA45C1"/>
    <w:rsid w:val="00AA5D4E"/>
    <w:rsid w:val="00AB27E1"/>
    <w:rsid w:val="00AB4124"/>
    <w:rsid w:val="00AC1834"/>
    <w:rsid w:val="00AC23F7"/>
    <w:rsid w:val="00AD5375"/>
    <w:rsid w:val="00AE0B72"/>
    <w:rsid w:val="00AE7387"/>
    <w:rsid w:val="00AE74B4"/>
    <w:rsid w:val="00AF0B5E"/>
    <w:rsid w:val="00AF0CAF"/>
    <w:rsid w:val="00AF29A3"/>
    <w:rsid w:val="00AF7574"/>
    <w:rsid w:val="00B04463"/>
    <w:rsid w:val="00B06FC8"/>
    <w:rsid w:val="00B120C1"/>
    <w:rsid w:val="00B1361A"/>
    <w:rsid w:val="00B166F7"/>
    <w:rsid w:val="00B2466A"/>
    <w:rsid w:val="00B3003C"/>
    <w:rsid w:val="00B30E3E"/>
    <w:rsid w:val="00B318F3"/>
    <w:rsid w:val="00B31DAC"/>
    <w:rsid w:val="00B329AD"/>
    <w:rsid w:val="00B40065"/>
    <w:rsid w:val="00B40487"/>
    <w:rsid w:val="00B405BC"/>
    <w:rsid w:val="00B40688"/>
    <w:rsid w:val="00B4368B"/>
    <w:rsid w:val="00B53BA1"/>
    <w:rsid w:val="00B54428"/>
    <w:rsid w:val="00B553FE"/>
    <w:rsid w:val="00B60281"/>
    <w:rsid w:val="00B615FF"/>
    <w:rsid w:val="00B67F83"/>
    <w:rsid w:val="00B82178"/>
    <w:rsid w:val="00B84D16"/>
    <w:rsid w:val="00B87B9D"/>
    <w:rsid w:val="00B90C9A"/>
    <w:rsid w:val="00B91A8C"/>
    <w:rsid w:val="00B92008"/>
    <w:rsid w:val="00B9382C"/>
    <w:rsid w:val="00BA64B3"/>
    <w:rsid w:val="00BB43A6"/>
    <w:rsid w:val="00BB53D7"/>
    <w:rsid w:val="00BC36C3"/>
    <w:rsid w:val="00BD1607"/>
    <w:rsid w:val="00BD3C17"/>
    <w:rsid w:val="00BD4153"/>
    <w:rsid w:val="00BE0464"/>
    <w:rsid w:val="00BE1090"/>
    <w:rsid w:val="00BE3616"/>
    <w:rsid w:val="00BE4C2B"/>
    <w:rsid w:val="00BE6193"/>
    <w:rsid w:val="00BF1E05"/>
    <w:rsid w:val="00BF3757"/>
    <w:rsid w:val="00C07A01"/>
    <w:rsid w:val="00C13A24"/>
    <w:rsid w:val="00C17B2F"/>
    <w:rsid w:val="00C2087F"/>
    <w:rsid w:val="00C33B86"/>
    <w:rsid w:val="00C35B23"/>
    <w:rsid w:val="00C409A7"/>
    <w:rsid w:val="00C45B46"/>
    <w:rsid w:val="00C53199"/>
    <w:rsid w:val="00C643C9"/>
    <w:rsid w:val="00C65365"/>
    <w:rsid w:val="00C66C63"/>
    <w:rsid w:val="00C732D3"/>
    <w:rsid w:val="00C852EC"/>
    <w:rsid w:val="00C94EA8"/>
    <w:rsid w:val="00CA1A83"/>
    <w:rsid w:val="00CA772E"/>
    <w:rsid w:val="00CB0AC8"/>
    <w:rsid w:val="00CB66CD"/>
    <w:rsid w:val="00CB7FB8"/>
    <w:rsid w:val="00CC219B"/>
    <w:rsid w:val="00CC79D5"/>
    <w:rsid w:val="00CD2FB1"/>
    <w:rsid w:val="00CD54BC"/>
    <w:rsid w:val="00CD6A59"/>
    <w:rsid w:val="00CE0344"/>
    <w:rsid w:val="00CE51ED"/>
    <w:rsid w:val="00CE7B39"/>
    <w:rsid w:val="00CE7C10"/>
    <w:rsid w:val="00CF407E"/>
    <w:rsid w:val="00CF5380"/>
    <w:rsid w:val="00CF71C2"/>
    <w:rsid w:val="00D002C3"/>
    <w:rsid w:val="00D00C0B"/>
    <w:rsid w:val="00D03465"/>
    <w:rsid w:val="00D042FB"/>
    <w:rsid w:val="00D10E5C"/>
    <w:rsid w:val="00D13304"/>
    <w:rsid w:val="00D33330"/>
    <w:rsid w:val="00D35AEA"/>
    <w:rsid w:val="00D50E27"/>
    <w:rsid w:val="00D55BD4"/>
    <w:rsid w:val="00D62D13"/>
    <w:rsid w:val="00D63A5F"/>
    <w:rsid w:val="00D668B5"/>
    <w:rsid w:val="00D71BA7"/>
    <w:rsid w:val="00D73F03"/>
    <w:rsid w:val="00D7502E"/>
    <w:rsid w:val="00D7605A"/>
    <w:rsid w:val="00D86B5B"/>
    <w:rsid w:val="00D86BB5"/>
    <w:rsid w:val="00D9292C"/>
    <w:rsid w:val="00D94D93"/>
    <w:rsid w:val="00DA37B6"/>
    <w:rsid w:val="00DA6268"/>
    <w:rsid w:val="00DA6A31"/>
    <w:rsid w:val="00DA751A"/>
    <w:rsid w:val="00DB1D89"/>
    <w:rsid w:val="00DB2861"/>
    <w:rsid w:val="00DB68DE"/>
    <w:rsid w:val="00DC5FD8"/>
    <w:rsid w:val="00DD7056"/>
    <w:rsid w:val="00DD733B"/>
    <w:rsid w:val="00DE5D59"/>
    <w:rsid w:val="00DF017B"/>
    <w:rsid w:val="00DF6408"/>
    <w:rsid w:val="00E052A0"/>
    <w:rsid w:val="00E06FCD"/>
    <w:rsid w:val="00E40BB0"/>
    <w:rsid w:val="00E42638"/>
    <w:rsid w:val="00E52F69"/>
    <w:rsid w:val="00E5645E"/>
    <w:rsid w:val="00E566CF"/>
    <w:rsid w:val="00E6212F"/>
    <w:rsid w:val="00E63040"/>
    <w:rsid w:val="00E64833"/>
    <w:rsid w:val="00E70BC8"/>
    <w:rsid w:val="00E71A5E"/>
    <w:rsid w:val="00E72D48"/>
    <w:rsid w:val="00E7364E"/>
    <w:rsid w:val="00E7789A"/>
    <w:rsid w:val="00E81409"/>
    <w:rsid w:val="00E90FB3"/>
    <w:rsid w:val="00E92130"/>
    <w:rsid w:val="00E93D90"/>
    <w:rsid w:val="00E93E51"/>
    <w:rsid w:val="00E96BF1"/>
    <w:rsid w:val="00EA52C3"/>
    <w:rsid w:val="00EB1CCC"/>
    <w:rsid w:val="00EB206D"/>
    <w:rsid w:val="00EB549A"/>
    <w:rsid w:val="00EC2F59"/>
    <w:rsid w:val="00EC56BD"/>
    <w:rsid w:val="00ED0579"/>
    <w:rsid w:val="00ED06E9"/>
    <w:rsid w:val="00ED4198"/>
    <w:rsid w:val="00ED45F1"/>
    <w:rsid w:val="00ED7732"/>
    <w:rsid w:val="00EE24B3"/>
    <w:rsid w:val="00EE613C"/>
    <w:rsid w:val="00EF6ABE"/>
    <w:rsid w:val="00F07C95"/>
    <w:rsid w:val="00F20EA8"/>
    <w:rsid w:val="00F32D34"/>
    <w:rsid w:val="00F34969"/>
    <w:rsid w:val="00F430DF"/>
    <w:rsid w:val="00F44DAF"/>
    <w:rsid w:val="00F5340D"/>
    <w:rsid w:val="00F54722"/>
    <w:rsid w:val="00F571D7"/>
    <w:rsid w:val="00F60DBA"/>
    <w:rsid w:val="00F75571"/>
    <w:rsid w:val="00F85185"/>
    <w:rsid w:val="00F92A27"/>
    <w:rsid w:val="00FA29A0"/>
    <w:rsid w:val="00FB44B1"/>
    <w:rsid w:val="00FB7E03"/>
    <w:rsid w:val="00FC43AA"/>
    <w:rsid w:val="00FC6B55"/>
    <w:rsid w:val="00FC6BF4"/>
    <w:rsid w:val="00FD04F0"/>
    <w:rsid w:val="00FD77C4"/>
    <w:rsid w:val="00FE1613"/>
    <w:rsid w:val="00FE4AFA"/>
    <w:rsid w:val="00FE5997"/>
    <w:rsid w:val="00FF03A1"/>
    <w:rsid w:val="00FF5C60"/>
    <w:rsid w:val="00FF671E"/>
    <w:rsid w:val="00FF7929"/>
    <w:rsid w:val="032A5E31"/>
    <w:rsid w:val="03985E04"/>
    <w:rsid w:val="03BD4B37"/>
    <w:rsid w:val="06125E91"/>
    <w:rsid w:val="06B70DC2"/>
    <w:rsid w:val="0754405D"/>
    <w:rsid w:val="07776A87"/>
    <w:rsid w:val="0B190AF2"/>
    <w:rsid w:val="0BE978CE"/>
    <w:rsid w:val="0CAC76A0"/>
    <w:rsid w:val="0CC24392"/>
    <w:rsid w:val="0F230FFE"/>
    <w:rsid w:val="0F757EE1"/>
    <w:rsid w:val="0F9470CC"/>
    <w:rsid w:val="0FB935D1"/>
    <w:rsid w:val="11533015"/>
    <w:rsid w:val="120B1836"/>
    <w:rsid w:val="13793ED6"/>
    <w:rsid w:val="145A3EF6"/>
    <w:rsid w:val="14D02C69"/>
    <w:rsid w:val="1569037A"/>
    <w:rsid w:val="15D137AC"/>
    <w:rsid w:val="16361D5C"/>
    <w:rsid w:val="18647FE6"/>
    <w:rsid w:val="18FC53CF"/>
    <w:rsid w:val="1AE627AE"/>
    <w:rsid w:val="1C0947B5"/>
    <w:rsid w:val="1E315508"/>
    <w:rsid w:val="1F5211D5"/>
    <w:rsid w:val="1FC056FE"/>
    <w:rsid w:val="213D6706"/>
    <w:rsid w:val="21CB69FB"/>
    <w:rsid w:val="223445FC"/>
    <w:rsid w:val="23DE387F"/>
    <w:rsid w:val="23DF58B5"/>
    <w:rsid w:val="261429A3"/>
    <w:rsid w:val="2628048F"/>
    <w:rsid w:val="27DD5F09"/>
    <w:rsid w:val="288B5D6A"/>
    <w:rsid w:val="28B955FD"/>
    <w:rsid w:val="29A917AB"/>
    <w:rsid w:val="2A463970"/>
    <w:rsid w:val="2D184461"/>
    <w:rsid w:val="2D2C6151"/>
    <w:rsid w:val="2EFC7025"/>
    <w:rsid w:val="2FCA4873"/>
    <w:rsid w:val="32483FD6"/>
    <w:rsid w:val="324C603B"/>
    <w:rsid w:val="352C1039"/>
    <w:rsid w:val="355524A5"/>
    <w:rsid w:val="35FD0E0C"/>
    <w:rsid w:val="365B669E"/>
    <w:rsid w:val="36A341C9"/>
    <w:rsid w:val="371C3CB5"/>
    <w:rsid w:val="3761738B"/>
    <w:rsid w:val="376C44DA"/>
    <w:rsid w:val="37AD6231"/>
    <w:rsid w:val="381A6805"/>
    <w:rsid w:val="38800557"/>
    <w:rsid w:val="39B219EC"/>
    <w:rsid w:val="3ABA3BAB"/>
    <w:rsid w:val="403844E1"/>
    <w:rsid w:val="405D234A"/>
    <w:rsid w:val="40DE634F"/>
    <w:rsid w:val="42B35A22"/>
    <w:rsid w:val="430D1D98"/>
    <w:rsid w:val="436E435A"/>
    <w:rsid w:val="43DA494E"/>
    <w:rsid w:val="43FB7CBA"/>
    <w:rsid w:val="44496BE1"/>
    <w:rsid w:val="45FE2B42"/>
    <w:rsid w:val="463F7AFE"/>
    <w:rsid w:val="4A2A3967"/>
    <w:rsid w:val="4A3D1407"/>
    <w:rsid w:val="4A5F46BA"/>
    <w:rsid w:val="4B4E6A84"/>
    <w:rsid w:val="4B9132B3"/>
    <w:rsid w:val="4DBF0586"/>
    <w:rsid w:val="530B0EA0"/>
    <w:rsid w:val="53EF117F"/>
    <w:rsid w:val="54911ED5"/>
    <w:rsid w:val="54F1366A"/>
    <w:rsid w:val="55374F87"/>
    <w:rsid w:val="589F5196"/>
    <w:rsid w:val="592E68A7"/>
    <w:rsid w:val="5AB801A1"/>
    <w:rsid w:val="5B6676CF"/>
    <w:rsid w:val="5E5600A7"/>
    <w:rsid w:val="5EE365A3"/>
    <w:rsid w:val="5F0F2728"/>
    <w:rsid w:val="5F1679AD"/>
    <w:rsid w:val="5F2666EC"/>
    <w:rsid w:val="5F9B1BD8"/>
    <w:rsid w:val="60C841D0"/>
    <w:rsid w:val="624A226F"/>
    <w:rsid w:val="625C309A"/>
    <w:rsid w:val="625E10EB"/>
    <w:rsid w:val="64721FBC"/>
    <w:rsid w:val="647A0891"/>
    <w:rsid w:val="65154585"/>
    <w:rsid w:val="66D07991"/>
    <w:rsid w:val="66E40084"/>
    <w:rsid w:val="670D630A"/>
    <w:rsid w:val="67B86478"/>
    <w:rsid w:val="68365FBA"/>
    <w:rsid w:val="692179F5"/>
    <w:rsid w:val="69D43425"/>
    <w:rsid w:val="6AD240B8"/>
    <w:rsid w:val="6BB713E5"/>
    <w:rsid w:val="6C526AEA"/>
    <w:rsid w:val="6E4648A4"/>
    <w:rsid w:val="6EA450FF"/>
    <w:rsid w:val="6F8B5601"/>
    <w:rsid w:val="6FBB34F4"/>
    <w:rsid w:val="6FF13AD5"/>
    <w:rsid w:val="6FF17898"/>
    <w:rsid w:val="70CA03BA"/>
    <w:rsid w:val="718F18DF"/>
    <w:rsid w:val="72185323"/>
    <w:rsid w:val="742C3557"/>
    <w:rsid w:val="752D1ADF"/>
    <w:rsid w:val="79A830E7"/>
    <w:rsid w:val="79DA0DD1"/>
    <w:rsid w:val="7BED176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Indent"/>
    <w:basedOn w:val="1"/>
    <w:qFormat/>
    <w:uiPriority w:val="0"/>
    <w:pPr>
      <w:spacing w:line="400" w:lineRule="exact"/>
      <w:ind w:firstLine="600" w:firstLineChars="200"/>
    </w:pPr>
    <w:rPr>
      <w:rFonts w:ascii="仿宋_GB2312" w:eastAsia="仿宋_GB2312"/>
      <w:sz w:val="30"/>
    </w:rPr>
  </w:style>
  <w:style w:type="paragraph" w:styleId="5">
    <w:name w:val="Date"/>
    <w:basedOn w:val="1"/>
    <w:next w:val="1"/>
    <w:qFormat/>
    <w:uiPriority w:val="0"/>
    <w:pPr>
      <w:ind w:left="100" w:leftChars="2500"/>
    </w:pPr>
    <w:rPr>
      <w:rFonts w:eastAsia="仿宋_GB2312"/>
      <w:sz w:val="30"/>
    </w:rPr>
  </w:style>
  <w:style w:type="paragraph" w:styleId="6">
    <w:name w:val="Body Text Indent 2"/>
    <w:basedOn w:val="1"/>
    <w:qFormat/>
    <w:uiPriority w:val="0"/>
    <w:pPr>
      <w:spacing w:line="520" w:lineRule="exact"/>
      <w:ind w:right="-17" w:rightChars="-8" w:firstLine="640" w:firstLineChars="200"/>
    </w:pPr>
    <w:rPr>
      <w:rFonts w:ascii="楷体_GB2312" w:eastAsia="楷体_GB2312"/>
      <w:sz w:val="32"/>
    </w:rPr>
  </w:style>
  <w:style w:type="paragraph" w:styleId="7">
    <w:name w:val="Balloon Text"/>
    <w:basedOn w:val="1"/>
    <w:link w:val="14"/>
    <w:qFormat/>
    <w:uiPriority w:val="0"/>
    <w:rPr>
      <w:sz w:val="18"/>
      <w:szCs w:val="18"/>
    </w:rPr>
  </w:style>
  <w:style w:type="paragraph" w:styleId="8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qFormat/>
    <w:uiPriority w:val="0"/>
  </w:style>
  <w:style w:type="character" w:customStyle="1" w:styleId="14">
    <w:name w:val="批注框文本 Char"/>
    <w:link w:val="7"/>
    <w:qFormat/>
    <w:uiPriority w:val="0"/>
    <w:rPr>
      <w:kern w:val="2"/>
      <w:sz w:val="18"/>
      <w:szCs w:val="18"/>
    </w:rPr>
  </w:style>
  <w:style w:type="character" w:customStyle="1" w:styleId="15">
    <w:name w:val="页脚 Char"/>
    <w:link w:val="8"/>
    <w:qFormat/>
    <w:uiPriority w:val="99"/>
    <w:rPr>
      <w:kern w:val="2"/>
      <w:sz w:val="18"/>
      <w:szCs w:val="18"/>
    </w:rPr>
  </w:style>
  <w:style w:type="paragraph" w:customStyle="1" w:styleId="16">
    <w:name w:val="Char Char Char Char"/>
    <w:basedOn w:val="1"/>
    <w:qFormat/>
    <w:uiPriority w:val="0"/>
    <w:rPr>
      <w:rFonts w:ascii="Times" w:hAnsi="Times"/>
      <w:szCs w:val="24"/>
    </w:rPr>
  </w:style>
  <w:style w:type="character" w:customStyle="1" w:styleId="17">
    <w:name w:val="font111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18">
    <w:name w:val="font81"/>
    <w:qFormat/>
    <w:uiPriority w:val="0"/>
    <w:rPr>
      <w:rFonts w:hint="eastAsia" w:ascii="黑体" w:hAnsi="宋体" w:eastAsia="黑体" w:cs="黑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301</Company>
  <Pages>4</Pages>
  <Words>330</Words>
  <Characters>1884</Characters>
  <Lines>15</Lines>
  <Paragraphs>4</Paragraphs>
  <TotalTime>1</TotalTime>
  <ScaleCrop>false</ScaleCrop>
  <LinksUpToDate>false</LinksUpToDate>
  <CharactersWithSpaces>2210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2022-08-05T01:27:00Z</dcterms:created>
  <dc:creator>301</dc:creator>
  <cp:lastModifiedBy>DOCTOR</cp:lastModifiedBy>
  <cp:lastPrinted>2025-02-06T07:28:00Z</cp:lastPrinted>
  <dcterms:modified xsi:type="dcterms:W3CDTF">2026-05-14T09:37:58Z</dcterms:modified>
  <dc:title>请  示               秘  密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61C92C3227ED430A85DC6FA66F0A2E52</vt:lpwstr>
  </property>
</Properties>
</file>