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beforeLines="50" w:afterLines="50" w:line="572" w:lineRule="exact"/>
        <w:jc w:val="center"/>
        <w:rPr>
          <w:rFonts w:ascii="方正小标宋简体" w:hAnsi="方正小标宋简体" w:eastAsia="方正小标宋简体" w:cs="方正小标宋简体"/>
          <w:kern w:val="0"/>
          <w:sz w:val="28"/>
          <w:szCs w:val="28"/>
        </w:rPr>
      </w:pPr>
      <w:r>
        <w:rPr>
          <w:rFonts w:hint="eastAsia" w:ascii="方正小标宋简体" w:hAnsi="方正小标宋简体" w:eastAsia="方正小标宋简体" w:cs="方正小标宋简体"/>
          <w:kern w:val="0"/>
          <w:sz w:val="44"/>
          <w:szCs w:val="44"/>
        </w:rPr>
        <w:t>采购需求表（服务类）</w:t>
      </w:r>
    </w:p>
    <w:tbl>
      <w:tblPr>
        <w:tblStyle w:val="5"/>
        <w:tblW w:w="9060" w:type="dxa"/>
        <w:tblInd w:w="0" w:type="dxa"/>
        <w:tblLayout w:type="fixed"/>
        <w:tblCellMar>
          <w:top w:w="0" w:type="dxa"/>
          <w:left w:w="108" w:type="dxa"/>
          <w:bottom w:w="0" w:type="dxa"/>
          <w:right w:w="108" w:type="dxa"/>
        </w:tblCellMar>
      </w:tblPr>
      <w:tblGrid>
        <w:gridCol w:w="501"/>
        <w:gridCol w:w="669"/>
        <w:gridCol w:w="720"/>
        <w:gridCol w:w="720"/>
        <w:gridCol w:w="75"/>
        <w:gridCol w:w="3210"/>
        <w:gridCol w:w="1208"/>
        <w:gridCol w:w="727"/>
        <w:gridCol w:w="1230"/>
      </w:tblGrid>
      <w:tr>
        <w:tblPrEx>
          <w:tblCellMar>
            <w:top w:w="0" w:type="dxa"/>
            <w:left w:w="108" w:type="dxa"/>
            <w:bottom w:w="0" w:type="dxa"/>
            <w:right w:w="108" w:type="dxa"/>
          </w:tblCellMar>
        </w:tblPrEx>
        <w:trPr>
          <w:trHeight w:val="500" w:hRule="atLeast"/>
        </w:trPr>
        <w:tc>
          <w:tcPr>
            <w:tcW w:w="11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项目名称</w:t>
            </w:r>
          </w:p>
        </w:tc>
        <w:tc>
          <w:tcPr>
            <w:tcW w:w="4725"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黑体" w:hAnsi="宋体" w:eastAsia="黑体" w:cs="黑体"/>
                <w:sz w:val="20"/>
              </w:rPr>
            </w:pPr>
            <w:r>
              <w:rPr>
                <w:rFonts w:hint="eastAsia" w:ascii="黑体" w:hAnsi="宋体" w:eastAsia="黑体" w:cs="黑体"/>
                <w:sz w:val="20"/>
              </w:rPr>
              <w:t>磁共振(GE MR360)维保</w:t>
            </w:r>
          </w:p>
        </w:tc>
        <w:tc>
          <w:tcPr>
            <w:tcW w:w="1208"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最高限价（万元）</w:t>
            </w:r>
          </w:p>
        </w:tc>
        <w:tc>
          <w:tcPr>
            <w:tcW w:w="1957"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黑体" w:hAnsi="宋体" w:eastAsia="黑体" w:cs="黑体"/>
                <w:sz w:val="20"/>
              </w:rPr>
            </w:pPr>
            <w:r>
              <w:rPr>
                <w:rFonts w:hint="eastAsia" w:ascii="黑体" w:hAnsi="宋体" w:eastAsia="黑体" w:cs="黑体"/>
                <w:sz w:val="20"/>
              </w:rPr>
              <w:t>42</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序号</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需求名称</w:t>
            </w:r>
          </w:p>
        </w:tc>
        <w:tc>
          <w:tcPr>
            <w:tcW w:w="79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参数</w:t>
            </w:r>
          </w:p>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性质</w:t>
            </w:r>
          </w:p>
        </w:tc>
        <w:tc>
          <w:tcPr>
            <w:tcW w:w="441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需求具体内容</w:t>
            </w:r>
          </w:p>
        </w:tc>
        <w:tc>
          <w:tcPr>
            <w:tcW w:w="727" w:type="dxa"/>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是否</w:t>
            </w:r>
            <w:r>
              <w:rPr>
                <w:rFonts w:hint="eastAsia" w:ascii="黑体" w:hAnsi="宋体" w:eastAsia="黑体" w:cs="黑体"/>
                <w:kern w:val="0"/>
                <w:sz w:val="20"/>
              </w:rPr>
              <w:br w:type="textWrapping"/>
            </w:r>
            <w:r>
              <w:rPr>
                <w:rFonts w:hint="eastAsia" w:ascii="黑体" w:hAnsi="宋体" w:eastAsia="黑体" w:cs="黑体"/>
                <w:kern w:val="0"/>
                <w:sz w:val="20"/>
              </w:rPr>
              <w:t>量化</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备注（证明材料等其他要求）</w:t>
            </w:r>
          </w:p>
        </w:tc>
      </w:tr>
      <w:tr>
        <w:tblPrEx>
          <w:tblCellMar>
            <w:top w:w="0" w:type="dxa"/>
            <w:left w:w="108" w:type="dxa"/>
            <w:bottom w:w="0" w:type="dxa"/>
            <w:right w:w="108" w:type="dxa"/>
          </w:tblCellMar>
        </w:tblPrEx>
        <w:trPr>
          <w:trHeight w:val="500" w:hRule="atLeast"/>
        </w:trPr>
        <w:tc>
          <w:tcPr>
            <w:tcW w:w="906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技术要求</w:t>
            </w:r>
          </w:p>
        </w:tc>
      </w:tr>
      <w:tr>
        <w:tblPrEx>
          <w:tblCellMar>
            <w:top w:w="0" w:type="dxa"/>
            <w:left w:w="108" w:type="dxa"/>
            <w:bottom w:w="0" w:type="dxa"/>
            <w:right w:w="108" w:type="dxa"/>
          </w:tblCellMar>
        </w:tblPrEx>
        <w:trPr>
          <w:trHeight w:val="63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基本要求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sz w:val="20"/>
              </w:rPr>
            </w:pPr>
            <w:r>
              <w:rPr>
                <w:rFonts w:hint="eastAsia" w:ascii="黑体" w:hAnsi="宋体" w:eastAsia="黑体" w:cs="黑体"/>
                <w:sz w:val="20"/>
              </w:rPr>
              <w:t>1台</w:t>
            </w:r>
            <w:r>
              <w:rPr>
                <w:rFonts w:ascii="黑体" w:hAnsi="宋体" w:eastAsia="黑体" w:cs="黑体"/>
                <w:sz w:val="20"/>
              </w:rPr>
              <w:t>GE Optima  MR360</w:t>
            </w:r>
            <w:r>
              <w:rPr>
                <w:rFonts w:hint="eastAsia" w:ascii="黑体" w:hAnsi="宋体" w:eastAsia="黑体" w:cs="黑体"/>
                <w:sz w:val="20"/>
              </w:rPr>
              <w:t>磁共振全保（包含所有</w:t>
            </w:r>
            <w:r>
              <w:rPr>
                <w:rFonts w:hint="eastAsia" w:ascii="黑体" w:hAnsi="宋体" w:eastAsia="黑体" w:cs="黑体"/>
                <w:iCs/>
                <w:kern w:val="0"/>
                <w:sz w:val="20"/>
              </w:rPr>
              <w:t>硬件、软件）</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1261"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特殊要求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sz w:val="20"/>
              </w:rPr>
            </w:pPr>
            <w:r>
              <w:rPr>
                <w:rFonts w:hint="eastAsia" w:ascii="黑体" w:hAnsi="宋体" w:eastAsia="黑体" w:cs="黑体"/>
                <w:iCs/>
                <w:kern w:val="0"/>
                <w:sz w:val="20"/>
              </w:rPr>
              <w:t>如因不可抗力或因需求方上级主管部门政策调整等因素需终止合同服务时，由需求方书面通知服务方具体终止服务时间，维保服务终止，维保费用按年中标价/365天</w:t>
            </w:r>
            <w:r>
              <w:rPr>
                <w:rFonts w:hint="eastAsia" w:ascii="黑体" w:hAnsi="黑体" w:eastAsia="黑体" w:cs="黑体"/>
                <w:iCs/>
                <w:kern w:val="0"/>
                <w:sz w:val="20"/>
              </w:rPr>
              <w:t>×</w:t>
            </w:r>
            <w:r>
              <w:rPr>
                <w:rFonts w:hint="eastAsia" w:ascii="黑体" w:hAnsi="宋体" w:eastAsia="黑体" w:cs="黑体"/>
                <w:iCs/>
                <w:kern w:val="0"/>
                <w:sz w:val="20"/>
              </w:rPr>
              <w:t>实际服务天数结算，服务合同结束</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69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同类业绩</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kern w:val="0"/>
                <w:sz w:val="20"/>
              </w:rPr>
            </w:pPr>
            <w:r>
              <w:rPr>
                <w:rFonts w:hint="eastAsia" w:ascii="黑体" w:hAnsi="宋体" w:eastAsia="黑体" w:cs="黑体"/>
                <w:iCs/>
                <w:kern w:val="0"/>
                <w:sz w:val="20"/>
              </w:rPr>
              <w:t>具备同系列磁共振维保经验，用户≥3家</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是</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kern w:val="0"/>
                <w:sz w:val="20"/>
              </w:rPr>
              <w:t>提供书面证明材料</w:t>
            </w:r>
          </w:p>
        </w:tc>
      </w:tr>
      <w:tr>
        <w:tblPrEx>
          <w:tblCellMar>
            <w:top w:w="0" w:type="dxa"/>
            <w:left w:w="108" w:type="dxa"/>
            <w:bottom w:w="0" w:type="dxa"/>
            <w:right w:w="108" w:type="dxa"/>
          </w:tblCellMar>
        </w:tblPrEx>
        <w:trPr>
          <w:trHeight w:val="70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4</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备件仓储</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kern w:val="0"/>
                <w:sz w:val="20"/>
              </w:rPr>
            </w:pPr>
            <w:r>
              <w:rPr>
                <w:rFonts w:hint="eastAsia" w:ascii="黑体" w:hAnsi="宋体" w:eastAsia="黑体" w:cs="黑体"/>
                <w:iCs/>
                <w:kern w:val="0"/>
                <w:sz w:val="20"/>
              </w:rPr>
              <w:t>在国内设有专业的设备零备件仓库，仓库总面积须≥200平方米。并提供相应的租房合同或房产证明资料</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p>
            <w:pPr>
              <w:widowControl/>
              <w:spacing w:line="240" w:lineRule="exact"/>
              <w:jc w:val="center"/>
              <w:textAlignment w:val="center"/>
              <w:rPr>
                <w:rFonts w:ascii="黑体" w:hAnsi="宋体" w:eastAsia="黑体" w:cs="黑体"/>
                <w:iCs/>
                <w:sz w:val="20"/>
              </w:rPr>
            </w:pPr>
          </w:p>
        </w:tc>
      </w:tr>
      <w:tr>
        <w:tblPrEx>
          <w:tblCellMar>
            <w:top w:w="0" w:type="dxa"/>
            <w:left w:w="108" w:type="dxa"/>
            <w:bottom w:w="0" w:type="dxa"/>
            <w:right w:w="108" w:type="dxa"/>
          </w:tblCellMar>
        </w:tblPrEx>
        <w:trPr>
          <w:trHeight w:val="98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服务保障</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kern w:val="0"/>
                <w:sz w:val="20"/>
              </w:rPr>
            </w:pPr>
            <w:r>
              <w:rPr>
                <w:rFonts w:hint="eastAsia" w:ascii="黑体" w:hAnsi="宋体" w:eastAsia="黑体" w:cs="黑体"/>
                <w:iCs/>
                <w:kern w:val="0"/>
                <w:sz w:val="20"/>
              </w:rPr>
              <w:t>保修期内如遇甲方医疗保健任务时，乙方须按照甲方指定要求，无偿派遣工程师赴现场保障，确保设备正常运行</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73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6</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保密要求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kern w:val="0"/>
                <w:sz w:val="20"/>
              </w:rPr>
            </w:pPr>
            <w:r>
              <w:rPr>
                <w:rFonts w:hint="eastAsia" w:ascii="黑体" w:hAnsi="宋体" w:eastAsia="黑体" w:cs="黑体"/>
                <w:iCs/>
                <w:kern w:val="0"/>
                <w:sz w:val="20"/>
              </w:rPr>
              <w:t>进行维保服务时，不得将设备内患者信息及相关文件传输至外界</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948"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7</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备件质量</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kern w:val="0"/>
                <w:sz w:val="20"/>
              </w:rPr>
            </w:pPr>
            <w:r>
              <w:rPr>
                <w:rFonts w:hint="eastAsia" w:ascii="黑体" w:hAnsi="宋体" w:eastAsia="黑体" w:cs="黑体"/>
                <w:iCs/>
                <w:kern w:val="0"/>
                <w:sz w:val="20"/>
              </w:rPr>
              <w:t>更换的备件必须满足设备运行要求</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1132"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8</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风险防控</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kern w:val="0"/>
                <w:sz w:val="20"/>
              </w:rPr>
            </w:pPr>
            <w:r>
              <w:rPr>
                <w:rFonts w:hint="eastAsia" w:ascii="黑体" w:hAnsi="宋体" w:eastAsia="黑体" w:cs="黑体"/>
                <w:kern w:val="0"/>
                <w:sz w:val="20"/>
              </w:rPr>
              <w:t>如在维修、保养过程中造成设备故障扩大化或人员伤亡，所造成的经济损失和法律责任由维保企业全部承担</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826"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9</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设备保养</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kern w:val="0"/>
                <w:sz w:val="20"/>
              </w:rPr>
            </w:pPr>
            <w:r>
              <w:rPr>
                <w:rFonts w:hint="eastAsia" w:ascii="黑体" w:hAnsi="宋体" w:eastAsia="黑体" w:cs="黑体"/>
                <w:iCs/>
                <w:kern w:val="0"/>
                <w:sz w:val="20"/>
              </w:rPr>
              <w:t>保修期内每年需提供≥2次保养,需提供书面保养报告和年度服务总结</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是</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提供保养计划</w:t>
            </w:r>
          </w:p>
        </w:tc>
      </w:tr>
      <w:tr>
        <w:tblPrEx>
          <w:tblCellMar>
            <w:top w:w="0" w:type="dxa"/>
            <w:left w:w="108" w:type="dxa"/>
            <w:bottom w:w="0" w:type="dxa"/>
            <w:right w:w="108" w:type="dxa"/>
          </w:tblCellMar>
        </w:tblPrEx>
        <w:trPr>
          <w:trHeight w:val="852"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10</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年度服务报告</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kern w:val="0"/>
                <w:sz w:val="20"/>
              </w:rPr>
            </w:pPr>
            <w:r>
              <w:rPr>
                <w:rFonts w:hint="eastAsia" w:ascii="黑体" w:hAnsi="宋体" w:eastAsia="黑体" w:cs="黑体"/>
                <w:iCs/>
                <w:kern w:val="0"/>
                <w:sz w:val="20"/>
              </w:rPr>
              <w:t>按年提供年度服务报告，内容需包括维修单、保养报告、零配件单次维修报价</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1123"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11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开机率</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sz w:val="20"/>
              </w:rPr>
            </w:pPr>
            <w:r>
              <w:rPr>
                <w:rFonts w:hint="eastAsia" w:ascii="黑体" w:hAnsi="宋体" w:eastAsia="黑体" w:cs="黑体"/>
                <w:iCs/>
                <w:kern w:val="0"/>
                <w:sz w:val="20"/>
              </w:rPr>
              <w:t>保修期内设备开机率≥95%，即每年停机时间≤18天；若超出上述承诺停机天数，超出一天顺延2天保修</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457" w:hRule="atLeast"/>
        </w:trPr>
        <w:tc>
          <w:tcPr>
            <w:tcW w:w="906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经济要求</w:t>
            </w:r>
          </w:p>
        </w:tc>
      </w:tr>
      <w:tr>
        <w:tblPrEx>
          <w:tblCellMar>
            <w:top w:w="0" w:type="dxa"/>
            <w:left w:w="108" w:type="dxa"/>
            <w:bottom w:w="0" w:type="dxa"/>
            <w:right w:w="108" w:type="dxa"/>
          </w:tblCellMar>
        </w:tblPrEx>
        <w:trPr>
          <w:trHeight w:val="788"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宋体" w:eastAsia="黑体" w:cs="黑体"/>
                <w:sz w:val="20"/>
              </w:rPr>
              <w:t>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宋体" w:eastAsia="黑体" w:cs="黑体"/>
                <w:kern w:val="0"/>
                <w:sz w:val="20"/>
              </w:rPr>
              <w:t>付款及结算方式</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kern w:val="0"/>
                <w:sz w:val="20"/>
              </w:rPr>
            </w:pPr>
            <w:r>
              <w:rPr>
                <w:rFonts w:hint="eastAsia" w:ascii="黑体" w:hAnsi="宋体" w:eastAsia="黑体" w:cs="黑体"/>
                <w:iCs/>
                <w:kern w:val="0"/>
                <w:sz w:val="20"/>
              </w:rPr>
              <w:t>合同签订后，保修服务开始6个月，验收完成付年保修费用的50%，保修服务开始12个月，验收完成付年保修费用的50%。如出现终止维保服务的情况，按“技术要求”第二条“特殊要求”结算方式结算</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kern w:val="0"/>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color w:val="FF0000"/>
                <w:kern w:val="0"/>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842"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sz w:val="20"/>
              </w:rPr>
              <w:t>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人员响应</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iCs/>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kern w:val="0"/>
                <w:sz w:val="20"/>
              </w:rPr>
            </w:pPr>
            <w:r>
              <w:rPr>
                <w:rFonts w:hint="eastAsia" w:ascii="黑体" w:hAnsi="宋体" w:eastAsia="黑体" w:cs="黑体"/>
                <w:iCs/>
                <w:kern w:val="0"/>
                <w:sz w:val="20"/>
              </w:rPr>
              <w:t>维保企业须具备客户服务专线电话，全年365天开通，并设有不少于1人以上专人接听或不少于2人以上备用报修电话，每天24小时开通服务时间，需提供服务热线电话，配有在线和远程技术支持。当所报设备出现故障时，供应商按照合同约定时间响应</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842"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宋体" w:eastAsia="黑体" w:cs="黑体"/>
                <w:sz w:val="20"/>
              </w:rPr>
              <w:t>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备件响应</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iCs/>
                <w:kern w:val="0"/>
                <w:sz w:val="20"/>
              </w:rPr>
              <w:t>★</w:t>
            </w:r>
          </w:p>
        </w:tc>
        <w:tc>
          <w:tcPr>
            <w:tcW w:w="449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kern w:val="0"/>
                <w:sz w:val="20"/>
              </w:rPr>
            </w:pPr>
            <w:r>
              <w:rPr>
                <w:rFonts w:hint="eastAsia" w:ascii="黑体" w:hAnsi="宋体" w:eastAsia="黑体" w:cs="黑体"/>
                <w:iCs/>
                <w:kern w:val="0"/>
                <w:sz w:val="20"/>
              </w:rPr>
              <w:t>备件响应时间：国内库房常规备件：≤36小时；国内无货需国外库房发货：≤7天；如遇全球缺货或特殊情况，双方协商供货周期</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
                <w:iCs/>
                <w:sz w:val="20"/>
              </w:rPr>
            </w:pPr>
            <w:r>
              <w:rPr>
                <w:rFonts w:hint="eastAsia" w:ascii="黑体" w:hAnsi="宋体" w:eastAsia="黑体" w:cs="黑体"/>
                <w:iCs/>
                <w:sz w:val="20"/>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500" w:hRule="atLeast"/>
        </w:trPr>
        <w:tc>
          <w:tcPr>
            <w:tcW w:w="906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采购实施建议</w:t>
            </w:r>
          </w:p>
        </w:tc>
      </w:tr>
      <w:tr>
        <w:tblPrEx>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sz w:val="20"/>
              </w:rPr>
              <w:t>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采购方式</w:t>
            </w:r>
          </w:p>
        </w:tc>
        <w:tc>
          <w:tcPr>
            <w:tcW w:w="7170" w:type="dxa"/>
            <w:gridSpan w:val="6"/>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 xml:space="preserve">□公开招标    □邀请招标    </w:t>
            </w:r>
            <w:r>
              <w:rPr>
                <w:rFonts w:hint="eastAsia" w:ascii="黑体" w:hAnsi="宋体" w:eastAsia="黑体" w:cs="黑体"/>
                <w:kern w:val="0"/>
              </w:rPr>
              <w:sym w:font="Wingdings 2" w:char="F052"/>
            </w:r>
            <w:r>
              <w:rPr>
                <w:rFonts w:hint="eastAsia" w:ascii="黑体" w:hAnsi="宋体" w:eastAsia="黑体" w:cs="黑体"/>
                <w:kern w:val="0"/>
                <w:sz w:val="20"/>
              </w:rPr>
              <w:t xml:space="preserve">竞争性谈判   </w:t>
            </w:r>
            <w:r>
              <w:rPr>
                <w:rFonts w:ascii="Wingdings 2" w:hAnsi="Wingdings 2" w:eastAsia="黑体" w:cs="黑体"/>
                <w:kern w:val="0"/>
              </w:rPr>
              <w:t></w:t>
            </w:r>
            <w:r>
              <w:rPr>
                <w:rFonts w:hint="eastAsia" w:ascii="黑体" w:hAnsi="宋体" w:eastAsia="黑体" w:cs="黑体"/>
                <w:kern w:val="0"/>
                <w:sz w:val="20"/>
              </w:rPr>
              <w:t>□单一来源     □询价</w:t>
            </w:r>
          </w:p>
        </w:tc>
      </w:tr>
      <w:tr>
        <w:tblPrEx>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auto"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sz w:val="20"/>
              </w:rPr>
              <w:t>2</w:t>
            </w:r>
          </w:p>
        </w:tc>
        <w:tc>
          <w:tcPr>
            <w:tcW w:w="1389" w:type="dxa"/>
            <w:gridSpan w:val="2"/>
            <w:tcBorders>
              <w:top w:val="single" w:color="000000" w:sz="4" w:space="0"/>
              <w:left w:val="single" w:color="000000" w:sz="4" w:space="0"/>
              <w:bottom w:val="single" w:color="auto"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评审方法</w:t>
            </w:r>
          </w:p>
        </w:tc>
        <w:tc>
          <w:tcPr>
            <w:tcW w:w="7170" w:type="dxa"/>
            <w:gridSpan w:val="6"/>
            <w:tcBorders>
              <w:top w:val="single" w:color="000000" w:sz="4" w:space="0"/>
              <w:left w:val="single" w:color="000000" w:sz="4" w:space="0"/>
              <w:bottom w:val="single" w:color="auto"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ascii="Wingdings 2" w:hAnsi="Wingdings 2" w:eastAsia="黑体" w:cs="黑体"/>
                <w:kern w:val="0"/>
              </w:rPr>
              <w:t></w:t>
            </w:r>
            <w:r>
              <w:rPr>
                <w:rFonts w:hint="eastAsia" w:ascii="黑体" w:hAnsi="宋体" w:eastAsia="黑体" w:cs="黑体"/>
                <w:kern w:val="0"/>
                <w:sz w:val="20"/>
              </w:rPr>
              <w:t xml:space="preserve">综合评分法      □质量优先法     </w:t>
            </w:r>
            <w:r>
              <w:rPr>
                <w:rFonts w:ascii="Wingdings 2" w:hAnsi="Wingdings 2" w:eastAsia="黑体" w:cs="黑体"/>
                <w:kern w:val="0"/>
              </w:rPr>
              <w:t></w:t>
            </w:r>
            <w:r>
              <w:rPr>
                <w:rFonts w:hint="eastAsia" w:ascii="黑体" w:hAnsi="宋体" w:eastAsia="黑体" w:cs="黑体"/>
                <w:kern w:val="0"/>
                <w:sz w:val="20"/>
              </w:rPr>
              <w:t>□经评审的最低价法</w:t>
            </w:r>
          </w:p>
        </w:tc>
      </w:tr>
      <w:tr>
        <w:tblPrEx>
          <w:tblCellMar>
            <w:top w:w="0" w:type="dxa"/>
            <w:left w:w="108" w:type="dxa"/>
            <w:bottom w:w="0" w:type="dxa"/>
            <w:right w:w="108" w:type="dxa"/>
          </w:tblCellMar>
        </w:tblPrEx>
        <w:trPr>
          <w:trHeight w:val="499" w:hRule="atLeast"/>
        </w:trPr>
        <w:tc>
          <w:tcPr>
            <w:tcW w:w="50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3</w:t>
            </w:r>
          </w:p>
        </w:tc>
        <w:tc>
          <w:tcPr>
            <w:tcW w:w="138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技术偏离要求</w:t>
            </w:r>
          </w:p>
        </w:tc>
        <w:tc>
          <w:tcPr>
            <w:tcW w:w="7170"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ascii="黑体" w:hAnsi="黑体" w:eastAsia="黑体" w:cs="黑体"/>
                <w:kern w:val="0"/>
                <w:sz w:val="20"/>
              </w:rPr>
            </w:pPr>
            <w:r>
              <w:rPr>
                <w:rFonts w:hint="eastAsia" w:ascii="黑体" w:hAnsi="黑体" w:eastAsia="黑体" w:cs="黑体"/>
                <w:kern w:val="0"/>
                <w:sz w:val="20"/>
              </w:rPr>
              <w:t>▲标识的指标负偏离≥2个，投标企业技术分值为0分</w:t>
            </w:r>
          </w:p>
        </w:tc>
      </w:tr>
      <w:tr>
        <w:tblPrEx>
          <w:tblCellMar>
            <w:top w:w="0" w:type="dxa"/>
            <w:left w:w="108" w:type="dxa"/>
            <w:bottom w:w="0" w:type="dxa"/>
            <w:right w:w="108" w:type="dxa"/>
          </w:tblCellMar>
        </w:tblPrEx>
        <w:trPr>
          <w:trHeight w:val="1511" w:hRule="atLeast"/>
        </w:trPr>
        <w:tc>
          <w:tcPr>
            <w:tcW w:w="9060"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00" w:lineRule="exact"/>
              <w:ind w:left="600" w:leftChars="200" w:hanging="180" w:hangingChars="100"/>
              <w:jc w:val="left"/>
              <w:textAlignment w:val="center"/>
              <w:rPr>
                <w:rFonts w:hint="eastAsia" w:ascii="宋体" w:hAnsi="宋体" w:cs="宋体"/>
                <w:kern w:val="0"/>
                <w:sz w:val="18"/>
                <w:szCs w:val="18"/>
              </w:rPr>
            </w:pPr>
            <w:r>
              <w:rPr>
                <w:rFonts w:hint="eastAsia" w:ascii="宋体" w:hAnsi="宋体" w:cs="宋体"/>
                <w:kern w:val="0"/>
                <w:sz w:val="18"/>
                <w:szCs w:val="18"/>
              </w:rPr>
              <w:t>注：</w:t>
            </w:r>
          </w:p>
          <w:p>
            <w:pPr>
              <w:widowControl/>
              <w:spacing w:line="300" w:lineRule="exact"/>
              <w:ind w:left="600" w:leftChars="200" w:hanging="180" w:hangingChars="100"/>
              <w:jc w:val="left"/>
              <w:textAlignment w:val="center"/>
              <w:rPr>
                <w:rFonts w:ascii="宋体" w:hAnsi="宋体" w:cs="宋体"/>
                <w:kern w:val="0"/>
                <w:sz w:val="18"/>
                <w:szCs w:val="18"/>
              </w:rPr>
            </w:pPr>
            <w:r>
              <w:rPr>
                <w:rFonts w:hint="eastAsia" w:ascii="宋体" w:hAnsi="宋体" w:cs="宋体"/>
                <w:kern w:val="0"/>
                <w:sz w:val="18"/>
                <w:szCs w:val="18"/>
              </w:rPr>
              <w:t>1.★指标为必须响应指标，任意一项不满足要求即做废标处理；</w:t>
            </w:r>
          </w:p>
          <w:p>
            <w:pPr>
              <w:widowControl/>
              <w:spacing w:line="300" w:lineRule="exact"/>
              <w:ind w:left="600" w:leftChars="200" w:hanging="180" w:hangingChars="100"/>
              <w:jc w:val="left"/>
              <w:textAlignment w:val="center"/>
              <w:rPr>
                <w:rFonts w:ascii="宋体" w:hAnsi="宋体" w:cs="宋体"/>
                <w:kern w:val="0"/>
                <w:sz w:val="18"/>
                <w:szCs w:val="18"/>
              </w:rPr>
            </w:pPr>
            <w:r>
              <w:rPr>
                <w:rFonts w:hint="eastAsia" w:ascii="宋体" w:hAnsi="宋体" w:cs="宋体"/>
                <w:kern w:val="0"/>
                <w:sz w:val="18"/>
                <w:szCs w:val="18"/>
                <w:lang w:val="en-US" w:eastAsia="zh-CN"/>
              </w:rPr>
              <w:t>2</w:t>
            </w:r>
            <w:r>
              <w:rPr>
                <w:rFonts w:hint="eastAsia" w:ascii="宋体" w:hAnsi="宋体" w:cs="宋体"/>
                <w:kern w:val="0"/>
                <w:sz w:val="18"/>
                <w:szCs w:val="18"/>
              </w:rPr>
              <w:t>.★及▲标识的指标，采购单位要逐条明确</w:t>
            </w:r>
            <w:bookmarkStart w:id="0" w:name="_GoBack"/>
            <w:bookmarkEnd w:id="0"/>
            <w:r>
              <w:rPr>
                <w:rFonts w:hint="eastAsia" w:ascii="宋体" w:hAnsi="宋体" w:cs="宋体"/>
                <w:kern w:val="0"/>
                <w:sz w:val="18"/>
                <w:szCs w:val="18"/>
              </w:rPr>
              <w:t>证明材料，无法明确的默认由企业提供承诺；</w:t>
            </w:r>
          </w:p>
          <w:p>
            <w:pPr>
              <w:widowControl/>
              <w:spacing w:line="300" w:lineRule="exact"/>
              <w:ind w:left="600" w:leftChars="200" w:hanging="180" w:hangingChars="100"/>
              <w:jc w:val="left"/>
              <w:textAlignment w:val="center"/>
              <w:rPr>
                <w:rFonts w:ascii="宋体" w:hAnsi="宋体" w:cs="宋体"/>
                <w:sz w:val="22"/>
                <w:szCs w:val="22"/>
              </w:rPr>
            </w:pPr>
            <w:r>
              <w:rPr>
                <w:rFonts w:hint="eastAsia" w:ascii="宋体" w:hAnsi="宋体" w:cs="宋体"/>
                <w:kern w:val="0"/>
                <w:sz w:val="18"/>
                <w:szCs w:val="18"/>
                <w:lang w:val="en-US" w:eastAsia="zh-CN"/>
              </w:rPr>
              <w:t>3</w:t>
            </w:r>
            <w:r>
              <w:rPr>
                <w:rFonts w:hint="eastAsia" w:ascii="宋体" w:hAnsi="宋体" w:cs="宋体"/>
                <w:kern w:val="0"/>
                <w:sz w:val="18"/>
                <w:szCs w:val="18"/>
              </w:rPr>
              <w:t>.经济要求不接受企业负偏离；</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70F"/>
    <w:rsid w:val="00040242"/>
    <w:rsid w:val="00054367"/>
    <w:rsid w:val="000B5A31"/>
    <w:rsid w:val="000D7ABA"/>
    <w:rsid w:val="000E0F6D"/>
    <w:rsid w:val="000F55E8"/>
    <w:rsid w:val="00105117"/>
    <w:rsid w:val="00145090"/>
    <w:rsid w:val="001A6A5D"/>
    <w:rsid w:val="001B1B72"/>
    <w:rsid w:val="001B1C83"/>
    <w:rsid w:val="001B23FA"/>
    <w:rsid w:val="001B24E6"/>
    <w:rsid w:val="001D65C7"/>
    <w:rsid w:val="001F30D6"/>
    <w:rsid w:val="00200382"/>
    <w:rsid w:val="00206978"/>
    <w:rsid w:val="00237E91"/>
    <w:rsid w:val="00242F01"/>
    <w:rsid w:val="00292D52"/>
    <w:rsid w:val="00293C5C"/>
    <w:rsid w:val="002D263B"/>
    <w:rsid w:val="00302E1C"/>
    <w:rsid w:val="003067DE"/>
    <w:rsid w:val="003462FB"/>
    <w:rsid w:val="003B4F7B"/>
    <w:rsid w:val="003C3366"/>
    <w:rsid w:val="003D0224"/>
    <w:rsid w:val="003D4291"/>
    <w:rsid w:val="003E143F"/>
    <w:rsid w:val="004407DE"/>
    <w:rsid w:val="0048326C"/>
    <w:rsid w:val="00487275"/>
    <w:rsid w:val="00497F3A"/>
    <w:rsid w:val="004A58D5"/>
    <w:rsid w:val="004D4710"/>
    <w:rsid w:val="004F7B16"/>
    <w:rsid w:val="005539C4"/>
    <w:rsid w:val="005A1B1E"/>
    <w:rsid w:val="005A28D7"/>
    <w:rsid w:val="005D260C"/>
    <w:rsid w:val="005E130D"/>
    <w:rsid w:val="00602079"/>
    <w:rsid w:val="0061347F"/>
    <w:rsid w:val="006237F3"/>
    <w:rsid w:val="00625E78"/>
    <w:rsid w:val="00636864"/>
    <w:rsid w:val="00655032"/>
    <w:rsid w:val="00687C2F"/>
    <w:rsid w:val="006B36E5"/>
    <w:rsid w:val="006B5A34"/>
    <w:rsid w:val="006C1230"/>
    <w:rsid w:val="006C5FFB"/>
    <w:rsid w:val="006C6474"/>
    <w:rsid w:val="006E0987"/>
    <w:rsid w:val="00711BC9"/>
    <w:rsid w:val="007171DE"/>
    <w:rsid w:val="00755932"/>
    <w:rsid w:val="00755EA5"/>
    <w:rsid w:val="007677FD"/>
    <w:rsid w:val="00775DB2"/>
    <w:rsid w:val="007943F3"/>
    <w:rsid w:val="007D20FB"/>
    <w:rsid w:val="007E5CF0"/>
    <w:rsid w:val="007E79A4"/>
    <w:rsid w:val="00817762"/>
    <w:rsid w:val="00830347"/>
    <w:rsid w:val="008A6899"/>
    <w:rsid w:val="008A7D37"/>
    <w:rsid w:val="008C6305"/>
    <w:rsid w:val="008C72B8"/>
    <w:rsid w:val="008D49D2"/>
    <w:rsid w:val="0090654F"/>
    <w:rsid w:val="00917135"/>
    <w:rsid w:val="00922B15"/>
    <w:rsid w:val="00925E73"/>
    <w:rsid w:val="00926639"/>
    <w:rsid w:val="00984814"/>
    <w:rsid w:val="009A1205"/>
    <w:rsid w:val="009B4357"/>
    <w:rsid w:val="009B7317"/>
    <w:rsid w:val="009F73D8"/>
    <w:rsid w:val="00A0770F"/>
    <w:rsid w:val="00A3490E"/>
    <w:rsid w:val="00A576BB"/>
    <w:rsid w:val="00A64D6C"/>
    <w:rsid w:val="00A72F4E"/>
    <w:rsid w:val="00A8542B"/>
    <w:rsid w:val="00A944B9"/>
    <w:rsid w:val="00AA2340"/>
    <w:rsid w:val="00AD43BC"/>
    <w:rsid w:val="00AE15D0"/>
    <w:rsid w:val="00AF1EF8"/>
    <w:rsid w:val="00B131B9"/>
    <w:rsid w:val="00B1350E"/>
    <w:rsid w:val="00B46644"/>
    <w:rsid w:val="00B80106"/>
    <w:rsid w:val="00B92B6D"/>
    <w:rsid w:val="00BB122B"/>
    <w:rsid w:val="00BB24D5"/>
    <w:rsid w:val="00BB6BA0"/>
    <w:rsid w:val="00BD2B78"/>
    <w:rsid w:val="00C11516"/>
    <w:rsid w:val="00C11802"/>
    <w:rsid w:val="00C244BC"/>
    <w:rsid w:val="00C71250"/>
    <w:rsid w:val="00C74FAB"/>
    <w:rsid w:val="00CA09D8"/>
    <w:rsid w:val="00CA1441"/>
    <w:rsid w:val="00CC332E"/>
    <w:rsid w:val="00D04257"/>
    <w:rsid w:val="00D313C5"/>
    <w:rsid w:val="00D96D06"/>
    <w:rsid w:val="00DA6E47"/>
    <w:rsid w:val="00DB6FAD"/>
    <w:rsid w:val="00DE2E22"/>
    <w:rsid w:val="00DE2F0E"/>
    <w:rsid w:val="00E34864"/>
    <w:rsid w:val="00E6135E"/>
    <w:rsid w:val="00EC26CD"/>
    <w:rsid w:val="00ED6584"/>
    <w:rsid w:val="00F0334F"/>
    <w:rsid w:val="00F508D5"/>
    <w:rsid w:val="00F66AF7"/>
    <w:rsid w:val="00F867A9"/>
    <w:rsid w:val="00F91F26"/>
    <w:rsid w:val="00FA406F"/>
    <w:rsid w:val="00FB1D04"/>
    <w:rsid w:val="00FB530E"/>
    <w:rsid w:val="00FC546C"/>
    <w:rsid w:val="30CA2B59"/>
    <w:rsid w:val="5B364150"/>
    <w:rsid w:val="6D3156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font111"/>
    <w:basedOn w:val="6"/>
    <w:qFormat/>
    <w:uiPriority w:val="0"/>
    <w:rPr>
      <w:rFonts w:hint="eastAsia" w:ascii="黑体" w:hAnsi="宋体" w:eastAsia="黑体" w:cs="黑体"/>
      <w:i/>
      <w:iCs/>
      <w:color w:val="000000"/>
      <w:sz w:val="20"/>
      <w:szCs w:val="20"/>
      <w:u w:val="none"/>
    </w:rPr>
  </w:style>
  <w:style w:type="character" w:customStyle="1" w:styleId="10">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BFB019-9364-495A-AAF2-1E09D0800C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243</Words>
  <Characters>1387</Characters>
  <Lines>11</Lines>
  <Paragraphs>3</Paragraphs>
  <TotalTime>1</TotalTime>
  <ScaleCrop>false</ScaleCrop>
  <LinksUpToDate>false</LinksUpToDate>
  <CharactersWithSpaces>1627</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2024-01-18T01:20:00Z</dcterms:created>
  <dc:creator>AutoBVT</dc:creator>
  <cp:lastModifiedBy>DOCTOR</cp:lastModifiedBy>
  <cp:lastPrinted>2025-02-17T06:47:00Z</cp:lastPrinted>
  <dcterms:modified xsi:type="dcterms:W3CDTF">2026-05-29T00:16:04Z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E21E7C3A6452445C9CD2EC9FB9C0DA05</vt:lpwstr>
  </property>
</Properties>
</file>