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289" w:beforeLines="50" w:after="289" w:afterLines="50" w:line="572" w:lineRule="exact"/>
        <w:jc w:val="center"/>
        <w:outlineLvl w:val="0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7"/>
        <w:tblW w:w="877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66"/>
        <w:gridCol w:w="868"/>
        <w:gridCol w:w="164"/>
        <w:gridCol w:w="363"/>
        <w:gridCol w:w="186"/>
        <w:gridCol w:w="1099"/>
        <w:gridCol w:w="1897"/>
        <w:gridCol w:w="1170"/>
        <w:gridCol w:w="704"/>
        <w:gridCol w:w="1"/>
        <w:gridCol w:w="1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76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cs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采购计划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编号</w:t>
            </w:r>
          </w:p>
        </w:tc>
        <w:tc>
          <w:tcPr>
            <w:tcW w:w="15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宋体" w:hAnsi="宋体" w:eastAsia="黑体" w:cs="宋体"/>
                <w:szCs w:val="21"/>
                <w:lang w:eastAsia="zh-CN"/>
              </w:rPr>
              <w:t>血液透析滤过机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8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77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适用于急性、慢性肾功能衰竭患者进行血液透析、血液透析滤过治疗。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Cs/>
                <w:sz w:val="20"/>
                <w:lang w:eastAsia="zh-CN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具备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val="en-US" w:eastAsia="zh-CN" w:bidi="ar"/>
              </w:rPr>
              <w:t>NMPA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；同时具备CE或FDA认证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3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显示配置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彩色液晶触摸屏，可旋转，中文操作界面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透析液及置换液流量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具备透析液流量联动血流量功能、具备置换液流量联动血流量功能。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曲线显示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具备可调钠曲线、超滤曲线、肝素曲线等。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6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应急处置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具有应急处置键，可一键切换到安全的体外循环模式，降低血流速、降低超滤、降低透析液流速至预设值，以应急各种突发状况。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自动引血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具备自动引血功能，全自动密闭式双向引血，可提前设定动脉侧和静脉侧引血量。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备用电池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停电后血泵、肝素泵、显示屏等部位持续运转，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支持工作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时间≥30min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9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可用耗材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开放耗材：可适配不同品牌血液管路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滴壶液面调整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动脉滴壶、静脉滴壶的液面高度可以通过屏幕按键进行调整。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 w:bidi="ar"/>
              </w:rPr>
              <w:t>宣传彩页或技术白皮书或说明书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配置要求</w:t>
            </w:r>
          </w:p>
        </w:tc>
        <w:tc>
          <w:tcPr>
            <w:tcW w:w="5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1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主机、细菌过滤器、血压计袖带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、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KT/V监测系统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软件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、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以上部件各两套；软件部分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厂家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需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bidi="ar"/>
              </w:rPr>
              <w:t>免费升级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szCs w:val="22"/>
                <w:lang w:eastAsia="zh-CN" w:bidi="ar"/>
              </w:rPr>
              <w:t>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77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合同签订后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1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个月内交付，交付地点由甲方指定。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物资到货（服务完成）验收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eastAsia="zh-CN" w:bidi="ar"/>
              </w:rPr>
              <w:t>合格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后付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95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%。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履约保证金/质量保证金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eastAsia="zh-CN"/>
              </w:rPr>
              <w:t>质保期满后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支付剩余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</w:rPr>
              <w:t>%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保修年限不低于3年，全年故障停机时间不高于5%（按365日/年计算)。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提供不少于1人次、1天的工程师维修培训。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  <w:tc>
          <w:tcPr>
            <w:tcW w:w="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3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维修响应时间≤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6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小时，维修到达现场时间≤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8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小时。</w:t>
            </w:r>
          </w:p>
        </w:tc>
        <w:tc>
          <w:tcPr>
            <w:tcW w:w="7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sz w:val="20"/>
              </w:rPr>
              <w:t>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企业承诺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2098" w:right="1474" w:bottom="1984" w:left="1588" w:header="850" w:footer="1247" w:gutter="0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NGIwZWNmZjE5MDg2MjQ5ZDc1ZjI4YTJmNTQ3ZWMifQ=="/>
  </w:docVars>
  <w:rsids>
    <w:rsidRoot w:val="00000000"/>
    <w:rsid w:val="019209E0"/>
    <w:rsid w:val="0F7F7297"/>
    <w:rsid w:val="1D7633F2"/>
    <w:rsid w:val="216B784F"/>
    <w:rsid w:val="23E258DC"/>
    <w:rsid w:val="37694C0D"/>
    <w:rsid w:val="404A4665"/>
    <w:rsid w:val="4D51335E"/>
    <w:rsid w:val="4FA05B79"/>
    <w:rsid w:val="50BA0ED9"/>
    <w:rsid w:val="51AC74A4"/>
    <w:rsid w:val="64D26507"/>
    <w:rsid w:val="6B545AD6"/>
    <w:rsid w:val="752117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Office_11.8.2.8411_F1E327BC-269C-435d-A152-05C5408002CA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2025-12-01T00:19:00Z</dcterms:created>
  <dc:creator>yxgcs5</dc:creator>
  <cp:lastModifiedBy>DOCTOR</cp:lastModifiedBy>
  <dcterms:modified xsi:type="dcterms:W3CDTF">2026-06-05T10:06:48Z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1C275781920947D9990E2D426EE61430_12</vt:lpwstr>
  </property>
</Properties>
</file>