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990" w:type="dxa"/>
        <w:tblInd w:w="0" w:type="dxa"/>
        <w:tblLayout w:type="fixed"/>
        <w:tblCellMar>
          <w:top w:w="0" w:type="dxa"/>
          <w:left w:w="108" w:type="dxa"/>
          <w:bottom w:w="0" w:type="dxa"/>
          <w:right w:w="108" w:type="dxa"/>
        </w:tblCellMar>
      </w:tblPr>
      <w:tblGrid>
        <w:gridCol w:w="443"/>
        <w:gridCol w:w="1272"/>
        <w:gridCol w:w="540"/>
        <w:gridCol w:w="4491"/>
        <w:gridCol w:w="2501"/>
        <w:gridCol w:w="743"/>
      </w:tblGrid>
      <w:tr>
        <w:tblPrEx>
          <w:tblLayout w:type="fixed"/>
          <w:tblCellMar>
            <w:top w:w="0" w:type="dxa"/>
            <w:left w:w="108" w:type="dxa"/>
            <w:bottom w:w="0" w:type="dxa"/>
            <w:right w:w="108" w:type="dxa"/>
          </w:tblCellMar>
        </w:tblPrEx>
        <w:trPr>
          <w:trHeight w:val="850" w:hRule="atLeast"/>
        </w:trPr>
        <w:tc>
          <w:tcPr>
            <w:tcW w:w="44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bCs/>
                <w:kern w:val="0"/>
                <w:sz w:val="20"/>
                <w:szCs w:val="20"/>
                <w:lang w:eastAsia="zh-CN" w:bidi="ar"/>
              </w:rPr>
            </w:pPr>
            <w:r>
              <w:rPr>
                <w:rFonts w:hint="eastAsia" w:ascii="黑体" w:hAnsi="黑体" w:eastAsia="黑体" w:cs="黑体"/>
                <w:b/>
                <w:bCs/>
                <w:kern w:val="0"/>
                <w:sz w:val="20"/>
                <w:szCs w:val="20"/>
                <w:lang w:bidi="ar"/>
              </w:rPr>
              <w:t>项目</w:t>
            </w:r>
            <w:r>
              <w:rPr>
                <w:rFonts w:hint="eastAsia" w:ascii="黑体" w:hAnsi="黑体" w:eastAsia="黑体" w:cs="黑体"/>
                <w:b/>
                <w:bCs/>
                <w:kern w:val="0"/>
                <w:sz w:val="20"/>
                <w:szCs w:val="20"/>
                <w:lang w:eastAsia="zh-CN" w:bidi="ar"/>
              </w:rPr>
              <w:t>编号</w:t>
            </w:r>
          </w:p>
        </w:tc>
        <w:tc>
          <w:tcPr>
            <w:tcW w:w="12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bCs/>
                <w:kern w:val="0"/>
                <w:sz w:val="20"/>
                <w:szCs w:val="20"/>
                <w:lang w:val="en-US" w:eastAsia="zh-CN" w:bidi="ar"/>
              </w:rPr>
            </w:pPr>
            <w:r>
              <w:rPr>
                <w:rFonts w:hint="eastAsia" w:ascii="黑体" w:hAnsi="黑体" w:eastAsia="黑体" w:cs="黑体"/>
                <w:b w:val="0"/>
                <w:bCs w:val="0"/>
                <w:kern w:val="0"/>
                <w:sz w:val="20"/>
                <w:szCs w:val="20"/>
                <w:lang w:val="en-US" w:eastAsia="zh-CN" w:bidi="ar"/>
              </w:rPr>
              <w:t>2026-JQ06-F3029</w:t>
            </w:r>
          </w:p>
        </w:tc>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val="0"/>
                <w:bCs w:val="0"/>
                <w:kern w:val="0"/>
                <w:sz w:val="20"/>
                <w:szCs w:val="20"/>
                <w:lang w:bidi="ar"/>
              </w:rPr>
            </w:pPr>
            <w:r>
              <w:rPr>
                <w:rFonts w:hint="eastAsia" w:ascii="黑体" w:hAnsi="黑体" w:eastAsia="黑体" w:cs="黑体"/>
                <w:b/>
                <w:bCs/>
                <w:kern w:val="0"/>
                <w:sz w:val="20"/>
                <w:szCs w:val="20"/>
                <w:lang w:bidi="ar"/>
              </w:rPr>
              <w:t>项目名称</w:t>
            </w:r>
          </w:p>
        </w:tc>
        <w:tc>
          <w:tcPr>
            <w:tcW w:w="449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val="0"/>
                <w:bCs w:val="0"/>
                <w:kern w:val="0"/>
                <w:sz w:val="20"/>
                <w:szCs w:val="20"/>
                <w:lang w:bidi="ar"/>
              </w:rPr>
            </w:pPr>
            <w:r>
              <w:rPr>
                <w:rFonts w:hint="eastAsia" w:ascii="黑体" w:hAnsi="黑体" w:eastAsia="黑体" w:cs="黑体"/>
                <w:b w:val="0"/>
                <w:bCs w:val="0"/>
                <w:kern w:val="0"/>
                <w:sz w:val="20"/>
                <w:szCs w:val="20"/>
                <w:lang w:bidi="ar"/>
              </w:rPr>
              <w:t>放射工作人员职业健康检查</w:t>
            </w:r>
          </w:p>
        </w:tc>
        <w:tc>
          <w:tcPr>
            <w:tcW w:w="250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bCs/>
                <w:kern w:val="0"/>
                <w:sz w:val="20"/>
                <w:szCs w:val="20"/>
                <w:lang w:bidi="ar"/>
              </w:rPr>
            </w:pPr>
            <w:r>
              <w:rPr>
                <w:rFonts w:hint="eastAsia" w:ascii="黑体" w:hAnsi="黑体" w:eastAsia="黑体" w:cs="黑体"/>
                <w:b/>
                <w:bCs/>
                <w:kern w:val="0"/>
                <w:sz w:val="20"/>
                <w:szCs w:val="20"/>
                <w:lang w:bidi="ar"/>
              </w:rPr>
              <w:t>最高限价</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bCs/>
                <w:kern w:val="0"/>
                <w:sz w:val="20"/>
                <w:szCs w:val="20"/>
                <w:lang w:bidi="ar"/>
              </w:rPr>
            </w:pPr>
            <w:r>
              <w:rPr>
                <w:rFonts w:hint="eastAsia" w:ascii="黑体" w:hAnsi="黑体" w:eastAsia="黑体" w:cs="黑体"/>
                <w:b/>
                <w:bCs/>
                <w:kern w:val="0"/>
                <w:sz w:val="20"/>
                <w:szCs w:val="20"/>
                <w:lang w:bidi="ar"/>
              </w:rPr>
              <w:t>（万元）</w:t>
            </w:r>
          </w:p>
        </w:tc>
        <w:tc>
          <w:tcPr>
            <w:tcW w:w="74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b/>
                <w:bCs/>
                <w:kern w:val="0"/>
                <w:sz w:val="20"/>
                <w:szCs w:val="20"/>
                <w:lang w:val="en-US" w:eastAsia="zh-CN" w:bidi="ar"/>
              </w:rPr>
            </w:pPr>
            <w:r>
              <w:rPr>
                <w:rFonts w:hint="eastAsia" w:ascii="黑体" w:hAnsi="黑体" w:eastAsia="黑体" w:cs="黑体"/>
                <w:b w:val="0"/>
                <w:bCs w:val="0"/>
                <w:kern w:val="0"/>
                <w:sz w:val="20"/>
                <w:szCs w:val="20"/>
                <w:lang w:val="en-US" w:eastAsia="zh-CN" w:bidi="ar"/>
              </w:rPr>
              <w:t>42</w:t>
            </w:r>
          </w:p>
        </w:tc>
      </w:tr>
      <w:tr>
        <w:tblPrEx>
          <w:tblLayout w:type="fixed"/>
          <w:tblCellMar>
            <w:top w:w="0" w:type="dxa"/>
            <w:left w:w="108" w:type="dxa"/>
            <w:bottom w:w="0" w:type="dxa"/>
            <w:right w:w="108" w:type="dxa"/>
          </w:tblCellMar>
        </w:tblPrEx>
        <w:trPr>
          <w:trHeight w:val="23" w:hRule="atLeast"/>
        </w:trPr>
        <w:tc>
          <w:tcPr>
            <w:tcW w:w="44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bCs/>
                <w:sz w:val="20"/>
                <w:szCs w:val="20"/>
              </w:rPr>
            </w:pPr>
            <w:r>
              <w:rPr>
                <w:rFonts w:hint="eastAsia" w:ascii="黑体" w:hAnsi="黑体" w:eastAsia="黑体" w:cs="黑体"/>
                <w:b/>
                <w:bCs/>
                <w:kern w:val="0"/>
                <w:sz w:val="20"/>
                <w:szCs w:val="20"/>
                <w:lang w:bidi="ar"/>
              </w:rPr>
              <w:t>序号</w:t>
            </w:r>
          </w:p>
        </w:tc>
        <w:tc>
          <w:tcPr>
            <w:tcW w:w="127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bCs/>
                <w:kern w:val="0"/>
                <w:sz w:val="20"/>
                <w:szCs w:val="20"/>
                <w:lang w:bidi="ar"/>
              </w:rPr>
            </w:pPr>
            <w:r>
              <w:rPr>
                <w:rFonts w:hint="eastAsia" w:ascii="黑体" w:hAnsi="黑体" w:eastAsia="黑体" w:cs="黑体"/>
                <w:b/>
                <w:bCs/>
                <w:kern w:val="0"/>
                <w:sz w:val="20"/>
                <w:szCs w:val="20"/>
                <w:lang w:bidi="ar"/>
              </w:rPr>
              <w:t>需求名称</w:t>
            </w:r>
          </w:p>
        </w:tc>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bCs/>
                <w:kern w:val="0"/>
                <w:sz w:val="20"/>
                <w:szCs w:val="20"/>
                <w:lang w:bidi="ar"/>
              </w:rPr>
            </w:pPr>
            <w:r>
              <w:rPr>
                <w:rFonts w:hint="eastAsia" w:ascii="黑体" w:hAnsi="黑体" w:eastAsia="黑体" w:cs="黑体"/>
                <w:b/>
                <w:bCs/>
                <w:kern w:val="0"/>
                <w:sz w:val="20"/>
                <w:szCs w:val="20"/>
                <w:lang w:bidi="ar"/>
              </w:rPr>
              <w:t>参数</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bCs/>
                <w:sz w:val="20"/>
                <w:szCs w:val="20"/>
              </w:rPr>
            </w:pPr>
            <w:r>
              <w:rPr>
                <w:rFonts w:hint="eastAsia" w:ascii="黑体" w:hAnsi="黑体" w:eastAsia="黑体" w:cs="黑体"/>
                <w:b/>
                <w:bCs/>
                <w:kern w:val="0"/>
                <w:sz w:val="20"/>
                <w:szCs w:val="20"/>
                <w:lang w:bidi="ar"/>
              </w:rPr>
              <w:t>性质</w:t>
            </w:r>
          </w:p>
        </w:tc>
        <w:tc>
          <w:tcPr>
            <w:tcW w:w="699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bCs/>
                <w:sz w:val="20"/>
                <w:szCs w:val="20"/>
              </w:rPr>
            </w:pPr>
            <w:r>
              <w:rPr>
                <w:rFonts w:hint="eastAsia" w:ascii="黑体" w:hAnsi="黑体" w:eastAsia="黑体" w:cs="黑体"/>
                <w:b/>
                <w:bCs/>
                <w:kern w:val="0"/>
                <w:sz w:val="20"/>
                <w:szCs w:val="20"/>
                <w:lang w:bidi="ar"/>
              </w:rPr>
              <w:t>需求具体内容</w:t>
            </w:r>
          </w:p>
        </w:tc>
        <w:tc>
          <w:tcPr>
            <w:tcW w:w="743" w:type="dxa"/>
            <w:tcBorders>
              <w:top w:val="single" w:color="000000" w:sz="4" w:space="0"/>
              <w:left w:val="single" w:color="000000" w:sz="4" w:space="0"/>
              <w:bottom w:val="nil"/>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bCs/>
                <w:sz w:val="20"/>
                <w:szCs w:val="20"/>
              </w:rPr>
            </w:pPr>
            <w:r>
              <w:rPr>
                <w:rFonts w:hint="eastAsia" w:ascii="黑体" w:hAnsi="黑体" w:eastAsia="黑体" w:cs="黑体"/>
                <w:b/>
                <w:bCs/>
                <w:kern w:val="0"/>
                <w:sz w:val="20"/>
                <w:szCs w:val="20"/>
                <w:lang w:bidi="ar"/>
              </w:rPr>
              <w:t>备注（证明材料等其他要求）</w:t>
            </w:r>
          </w:p>
        </w:tc>
      </w:tr>
      <w:tr>
        <w:tblPrEx>
          <w:tblLayout w:type="fixed"/>
          <w:tblCellMar>
            <w:top w:w="0" w:type="dxa"/>
            <w:left w:w="108" w:type="dxa"/>
            <w:bottom w:w="0" w:type="dxa"/>
            <w:right w:w="108" w:type="dxa"/>
          </w:tblCellMar>
        </w:tblPrEx>
        <w:trPr>
          <w:trHeight w:val="506" w:hRule="atLeast"/>
        </w:trPr>
        <w:tc>
          <w:tcPr>
            <w:tcW w:w="9990"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技术要求</w:t>
            </w:r>
          </w:p>
        </w:tc>
      </w:tr>
      <w:tr>
        <w:tblPrEx>
          <w:tblLayout w:type="fixed"/>
          <w:tblCellMar>
            <w:top w:w="0" w:type="dxa"/>
            <w:left w:w="108" w:type="dxa"/>
            <w:bottom w:w="0" w:type="dxa"/>
            <w:right w:w="108" w:type="dxa"/>
          </w:tblCellMar>
        </w:tblPrEx>
        <w:trPr>
          <w:trHeight w:val="23" w:hRule="atLeast"/>
        </w:trPr>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黑体" w:eastAsia="黑体" w:cs="黑体"/>
                <w:iCs/>
                <w:kern w:val="0"/>
                <w:sz w:val="20"/>
                <w:szCs w:val="20"/>
                <w:lang w:bidi="ar"/>
              </w:rPr>
            </w:pPr>
            <w:r>
              <w:rPr>
                <w:rFonts w:hint="eastAsia" w:ascii="宋体" w:hAnsi="宋体" w:eastAsia="宋体" w:cs="宋体"/>
                <w:sz w:val="21"/>
                <w:szCs w:val="21"/>
                <w:lang w:val="en-US" w:eastAsia="zh-CN"/>
              </w:rPr>
              <w:t>1</w:t>
            </w:r>
          </w:p>
        </w:tc>
        <w:tc>
          <w:tcPr>
            <w:tcW w:w="1272" w:type="dxa"/>
            <w:tcBorders>
              <w:top w:val="single" w:color="auto" w:sz="4" w:space="0"/>
              <w:left w:val="single" w:color="auto" w:sz="4" w:space="0"/>
              <w:bottom w:val="single" w:color="auto" w:sz="4" w:space="0"/>
              <w:right w:val="single" w:color="auto" w:sz="4" w:space="0"/>
            </w:tcBorders>
            <w:vAlign w:val="center"/>
          </w:tcPr>
          <w:p>
            <w:pPr>
              <w:spacing w:line="240" w:lineRule="exact"/>
              <w:textAlignment w:val="center"/>
              <w:rPr>
                <w:rFonts w:hint="eastAsia" w:ascii="黑体" w:hAnsi="宋体" w:eastAsia="黑体" w:cs="黑体"/>
                <w:kern w:val="0"/>
                <w:sz w:val="20"/>
                <w:szCs w:val="20"/>
                <w:lang w:bidi="ar"/>
              </w:rPr>
            </w:pPr>
            <w:r>
              <w:rPr>
                <w:rFonts w:hint="eastAsia" w:ascii="黑体" w:hAnsi="宋体" w:eastAsia="黑体" w:cs="黑体"/>
                <w:kern w:val="0"/>
                <w:sz w:val="20"/>
                <w:szCs w:val="20"/>
                <w:lang w:bidi="ar"/>
              </w:rPr>
              <w:t>项目</w:t>
            </w:r>
          </w:p>
          <w:p>
            <w:pPr>
              <w:spacing w:line="240" w:lineRule="exact"/>
              <w:textAlignment w:val="center"/>
              <w:rPr>
                <w:rFonts w:hint="eastAsia" w:ascii="黑体" w:hAnsi="黑体" w:eastAsia="黑体" w:cs="黑体"/>
                <w:iCs/>
                <w:kern w:val="0"/>
                <w:sz w:val="20"/>
                <w:szCs w:val="20"/>
                <w:lang w:bidi="ar"/>
              </w:rPr>
            </w:pPr>
            <w:r>
              <w:rPr>
                <w:rFonts w:hint="eastAsia" w:ascii="黑体" w:hAnsi="宋体" w:eastAsia="黑体" w:cs="黑体"/>
                <w:kern w:val="0"/>
                <w:sz w:val="20"/>
                <w:szCs w:val="20"/>
                <w:lang w:bidi="ar"/>
              </w:rPr>
              <w:t>概况</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hint="eastAsia" w:ascii="宋体" w:hAnsi="宋体" w:eastAsia="宋体" w:cs="宋体"/>
                <w:kern w:val="0"/>
                <w:sz w:val="21"/>
                <w:szCs w:val="21"/>
                <w:lang w:bidi="ar"/>
              </w:rPr>
            </w:pPr>
            <w:r>
              <w:rPr>
                <w:rFonts w:hint="eastAsia" w:ascii="黑体" w:hAnsi="宋体" w:eastAsia="黑体" w:cs="黑体"/>
                <w:kern w:val="0"/>
                <w:sz w:val="20"/>
                <w:szCs w:val="20"/>
                <w:lang w:bidi="ar"/>
              </w:rPr>
              <w:t>★</w:t>
            </w:r>
          </w:p>
        </w:tc>
        <w:tc>
          <w:tcPr>
            <w:tcW w:w="699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黑体" w:hAnsi="黑体" w:eastAsia="黑体" w:cs="黑体"/>
                <w:iCs/>
                <w:kern w:val="0"/>
                <w:sz w:val="20"/>
                <w:szCs w:val="20"/>
                <w:lang w:bidi="ar"/>
              </w:rPr>
            </w:pPr>
            <w:r>
              <w:rPr>
                <w:rFonts w:hint="eastAsia" w:ascii="宋体" w:hAnsi="宋体"/>
                <w:sz w:val="20"/>
                <w:szCs w:val="20"/>
              </w:rPr>
              <w:t>对放射工作人员进行职业健康检查，评价放射工作人员对于其预期工作的适任和持续适任的程度,并为事故照射的医学处理和职业病诊断提供健康本底资料。拟聘请专业单位进行职业健康体检，项目位于北京市海淀区。</w:t>
            </w:r>
          </w:p>
        </w:tc>
        <w:tc>
          <w:tcPr>
            <w:tcW w:w="743"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center"/>
              <w:textAlignment w:val="center"/>
              <w:rPr>
                <w:rFonts w:hint="eastAsia" w:ascii="宋体" w:hAnsi="宋体" w:eastAsia="宋体" w:cs="宋体"/>
                <w:i/>
                <w:iCs/>
                <w:sz w:val="21"/>
                <w:szCs w:val="21"/>
              </w:rPr>
            </w:pPr>
            <w:r>
              <w:rPr>
                <w:rFonts w:hint="eastAsia" w:ascii="宋体" w:hAnsi="宋体" w:eastAsia="宋体" w:cs="宋体"/>
                <w:sz w:val="21"/>
                <w:szCs w:val="21"/>
              </w:rPr>
              <w:t>企业承诺</w:t>
            </w:r>
          </w:p>
        </w:tc>
      </w:tr>
      <w:tr>
        <w:tblPrEx>
          <w:tblLayout w:type="fixed"/>
          <w:tblCellMar>
            <w:top w:w="0" w:type="dxa"/>
            <w:left w:w="108" w:type="dxa"/>
            <w:bottom w:w="0" w:type="dxa"/>
            <w:right w:w="108" w:type="dxa"/>
          </w:tblCellMar>
        </w:tblPrEx>
        <w:trPr>
          <w:trHeight w:val="570" w:hRule="atLeast"/>
        </w:trPr>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黑体" w:eastAsia="黑体" w:cs="黑体"/>
                <w:iCs/>
                <w:kern w:val="0"/>
                <w:sz w:val="20"/>
                <w:szCs w:val="20"/>
                <w:lang w:bidi="ar"/>
              </w:rPr>
            </w:pPr>
            <w:r>
              <w:rPr>
                <w:rFonts w:hint="eastAsia" w:ascii="宋体" w:hAnsi="宋体" w:eastAsia="宋体" w:cs="宋体"/>
                <w:sz w:val="21"/>
                <w:szCs w:val="21"/>
                <w:lang w:val="en-US" w:eastAsia="zh-CN"/>
              </w:rPr>
              <w:t>2</w:t>
            </w:r>
          </w:p>
        </w:tc>
        <w:tc>
          <w:tcPr>
            <w:tcW w:w="1272" w:type="dxa"/>
            <w:tcBorders>
              <w:top w:val="single" w:color="auto" w:sz="4" w:space="0"/>
              <w:left w:val="single" w:color="auto" w:sz="4" w:space="0"/>
              <w:bottom w:val="single" w:color="auto" w:sz="4" w:space="0"/>
              <w:right w:val="single" w:color="auto" w:sz="4" w:space="0"/>
            </w:tcBorders>
            <w:vAlign w:val="center"/>
          </w:tcPr>
          <w:p>
            <w:pPr>
              <w:spacing w:line="240" w:lineRule="exact"/>
              <w:textAlignment w:val="center"/>
              <w:rPr>
                <w:rFonts w:hint="eastAsia" w:ascii="黑体" w:hAnsi="宋体" w:eastAsia="黑体" w:cs="黑体"/>
                <w:kern w:val="0"/>
                <w:sz w:val="20"/>
                <w:szCs w:val="20"/>
                <w:lang w:bidi="ar"/>
              </w:rPr>
            </w:pPr>
            <w:r>
              <w:rPr>
                <w:rFonts w:hint="eastAsia" w:ascii="黑体" w:hAnsi="宋体" w:eastAsia="黑体" w:cs="黑体"/>
                <w:kern w:val="0"/>
                <w:sz w:val="20"/>
                <w:szCs w:val="20"/>
                <w:lang w:bidi="ar"/>
              </w:rPr>
              <w:t>采购</w:t>
            </w:r>
          </w:p>
          <w:p>
            <w:pPr>
              <w:spacing w:line="240" w:lineRule="exact"/>
              <w:textAlignment w:val="center"/>
              <w:rPr>
                <w:rFonts w:hint="eastAsia" w:ascii="黑体" w:hAnsi="黑体" w:eastAsia="黑体" w:cs="黑体"/>
                <w:iCs/>
                <w:kern w:val="0"/>
                <w:sz w:val="20"/>
                <w:szCs w:val="20"/>
                <w:lang w:bidi="ar"/>
              </w:rPr>
            </w:pPr>
            <w:r>
              <w:rPr>
                <w:rFonts w:hint="eastAsia" w:ascii="黑体" w:hAnsi="宋体" w:eastAsia="黑体" w:cs="黑体"/>
                <w:kern w:val="0"/>
                <w:sz w:val="20"/>
                <w:szCs w:val="20"/>
                <w:lang w:bidi="ar"/>
              </w:rPr>
              <w:t>内容</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hint="eastAsia" w:ascii="宋体" w:hAnsi="宋体" w:eastAsia="宋体" w:cs="宋体"/>
                <w:kern w:val="0"/>
                <w:sz w:val="21"/>
                <w:szCs w:val="21"/>
                <w:lang w:bidi="ar"/>
              </w:rPr>
            </w:pPr>
            <w:r>
              <w:rPr>
                <w:rFonts w:hint="eastAsia" w:ascii="黑体" w:hAnsi="宋体" w:eastAsia="黑体" w:cs="黑体"/>
                <w:kern w:val="0"/>
                <w:sz w:val="20"/>
                <w:szCs w:val="20"/>
                <w:lang w:bidi="ar"/>
              </w:rPr>
              <w:t>★</w:t>
            </w:r>
          </w:p>
        </w:tc>
        <w:tc>
          <w:tcPr>
            <w:tcW w:w="6992" w:type="dxa"/>
            <w:gridSpan w:val="2"/>
            <w:tcBorders>
              <w:top w:val="single" w:color="auto" w:sz="4" w:space="0"/>
              <w:left w:val="single" w:color="auto" w:sz="4" w:space="0"/>
              <w:bottom w:val="single" w:color="auto" w:sz="4" w:space="0"/>
              <w:right w:val="single" w:color="auto" w:sz="4" w:space="0"/>
            </w:tcBorders>
            <w:vAlign w:val="center"/>
          </w:tcPr>
          <w:p>
            <w:pPr>
              <w:pStyle w:val="2"/>
              <w:snapToGrid w:val="0"/>
              <w:ind w:firstLine="400" w:firstLineChars="200"/>
              <w:rPr>
                <w:rStyle w:val="8"/>
                <w:rFonts w:hint="eastAsia" w:ascii="仿宋_GB2312" w:eastAsia="仿宋_GB2312"/>
                <w:sz w:val="28"/>
                <w:szCs w:val="32"/>
              </w:rPr>
            </w:pPr>
            <w:r>
              <w:rPr>
                <w:rFonts w:hint="eastAsia" w:ascii="宋体" w:hAnsi="宋体" w:eastAsia="宋体"/>
                <w:sz w:val="20"/>
              </w:rPr>
              <w:t>职业健康检查包括上岗前、在岗期间、离岗时健康检查，以及职业性放射性疾病患者和受到过量照射放射工作人员的医学随访观察等服务，检查完毕后提供个体报告和集体汇总体检报告。放射人员职业健康检查内容应根据岗位状况（上岗前、在岗期间、离岗时）而定，至少包含下表内容。</w:t>
            </w:r>
          </w:p>
          <w:tbl>
            <w:tblPr>
              <w:tblStyle w:val="5"/>
              <w:tblpPr w:leftFromText="180" w:rightFromText="180" w:vertAnchor="page" w:horzAnchor="page" w:tblpX="115" w:tblpY="1111"/>
              <w:tblOverlap w:val="never"/>
              <w:tblW w:w="69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5781"/>
              <w:gridCol w:w="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trPr>
              <w:tc>
                <w:tcPr>
                  <w:tcW w:w="630" w:type="dxa"/>
                  <w:noWrap w:val="0"/>
                  <w:vAlign w:val="center"/>
                </w:tcPr>
                <w:p>
                  <w:pPr>
                    <w:jc w:val="center"/>
                    <w:rPr>
                      <w:rFonts w:ascii="宋体" w:hAnsi="宋体"/>
                      <w:sz w:val="20"/>
                      <w:szCs w:val="20"/>
                    </w:rPr>
                  </w:pPr>
                  <w:r>
                    <w:rPr>
                      <w:rFonts w:hint="eastAsia" w:ascii="宋体" w:hAnsi="宋体"/>
                      <w:sz w:val="20"/>
                      <w:szCs w:val="20"/>
                    </w:rPr>
                    <w:t>体检类别</w:t>
                  </w:r>
                </w:p>
              </w:tc>
              <w:tc>
                <w:tcPr>
                  <w:tcW w:w="5781" w:type="dxa"/>
                  <w:noWrap w:val="0"/>
                  <w:vAlign w:val="center"/>
                </w:tcPr>
                <w:p>
                  <w:pPr>
                    <w:ind w:firstLine="400" w:firstLineChars="200"/>
                    <w:jc w:val="center"/>
                    <w:rPr>
                      <w:rFonts w:ascii="宋体" w:hAnsi="宋体"/>
                      <w:sz w:val="20"/>
                      <w:szCs w:val="20"/>
                    </w:rPr>
                  </w:pPr>
                  <w:r>
                    <w:rPr>
                      <w:rFonts w:hint="eastAsia" w:ascii="宋体" w:hAnsi="宋体"/>
                      <w:sz w:val="20"/>
                      <w:szCs w:val="20"/>
                    </w:rPr>
                    <w:t>体检项目</w:t>
                  </w:r>
                </w:p>
              </w:tc>
              <w:tc>
                <w:tcPr>
                  <w:tcW w:w="560" w:type="dxa"/>
                  <w:noWrap w:val="0"/>
                  <w:vAlign w:val="center"/>
                </w:tcPr>
                <w:p>
                  <w:pPr>
                    <w:jc w:val="center"/>
                    <w:rPr>
                      <w:rFonts w:hint="eastAsia" w:ascii="宋体" w:hAnsi="宋体"/>
                      <w:sz w:val="20"/>
                      <w:szCs w:val="20"/>
                    </w:rPr>
                  </w:pPr>
                  <w:r>
                    <w:rPr>
                      <w:rFonts w:hint="eastAsia" w:ascii="宋体" w:hAnsi="宋体"/>
                      <w:sz w:val="20"/>
                      <w:szCs w:val="20"/>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0" w:hRule="atLeast"/>
              </w:trPr>
              <w:tc>
                <w:tcPr>
                  <w:tcW w:w="630" w:type="dxa"/>
                  <w:noWrap w:val="0"/>
                  <w:vAlign w:val="center"/>
                </w:tcPr>
                <w:p>
                  <w:pPr>
                    <w:rPr>
                      <w:rFonts w:hint="eastAsia" w:ascii="宋体" w:hAnsi="宋体"/>
                      <w:sz w:val="20"/>
                      <w:szCs w:val="20"/>
                    </w:rPr>
                  </w:pPr>
                  <w:r>
                    <w:rPr>
                      <w:rFonts w:hint="eastAsia" w:ascii="宋体" w:hAnsi="宋体"/>
                      <w:sz w:val="20"/>
                      <w:szCs w:val="20"/>
                    </w:rPr>
                    <w:t>上岗前、离岗时</w:t>
                  </w:r>
                </w:p>
              </w:tc>
              <w:tc>
                <w:tcPr>
                  <w:tcW w:w="5781" w:type="dxa"/>
                  <w:noWrap w:val="0"/>
                  <w:vAlign w:val="center"/>
                </w:tcPr>
                <w:p>
                  <w:pPr>
                    <w:rPr>
                      <w:rFonts w:hint="eastAsia" w:ascii="宋体" w:hAnsi="宋体"/>
                      <w:sz w:val="20"/>
                      <w:szCs w:val="20"/>
                    </w:rPr>
                  </w:pPr>
                  <w:r>
                    <w:rPr>
                      <w:rFonts w:hint="eastAsia" w:ascii="宋体" w:hAnsi="宋体"/>
                      <w:sz w:val="20"/>
                      <w:szCs w:val="20"/>
                    </w:rPr>
                    <w:t>医学史、职业史调查；内科、外科、皮肤科常规检查；眼科检查（色觉、视力、晶体裂隙灯检查、玻璃体、眼底）；血常规和白细胞分类；尿常规；血糖；肝功能；肾功能；甲状腺功能；外周血淋巴细胞染色体畸变分析；外周血淋巴细胞微核试验；胸部X射线摄影（在留取细胞遗传学检查所需血样后）；心电图；腹部B超。</w:t>
                  </w:r>
                </w:p>
              </w:tc>
              <w:tc>
                <w:tcPr>
                  <w:tcW w:w="560" w:type="dxa"/>
                  <w:noWrap w:val="0"/>
                  <w:vAlign w:val="center"/>
                </w:tcPr>
                <w:p>
                  <w:pPr>
                    <w:jc w:val="center"/>
                    <w:rPr>
                      <w:rFonts w:hint="eastAsia" w:ascii="宋体" w:hAnsi="宋体"/>
                      <w:sz w:val="20"/>
                      <w:szCs w:val="20"/>
                    </w:rPr>
                  </w:pPr>
                  <w:r>
                    <w:rPr>
                      <w:rFonts w:hint="eastAsia" w:ascii="宋体" w:hAnsi="宋体"/>
                      <w:sz w:val="20"/>
                      <w:szCs w:val="20"/>
                    </w:rPr>
                    <w:t>岗前40人、离岗30人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9" w:hRule="atLeast"/>
              </w:trPr>
              <w:tc>
                <w:tcPr>
                  <w:tcW w:w="630" w:type="dxa"/>
                  <w:noWrap w:val="0"/>
                  <w:vAlign w:val="center"/>
                </w:tcPr>
                <w:p>
                  <w:pPr>
                    <w:rPr>
                      <w:rFonts w:hint="eastAsia" w:ascii="宋体" w:hAnsi="宋体"/>
                      <w:sz w:val="20"/>
                      <w:szCs w:val="20"/>
                    </w:rPr>
                  </w:pPr>
                  <w:r>
                    <w:rPr>
                      <w:rFonts w:hint="eastAsia" w:ascii="宋体" w:hAnsi="宋体"/>
                      <w:sz w:val="20"/>
                      <w:szCs w:val="20"/>
                    </w:rPr>
                    <w:t>在岗期间</w:t>
                  </w:r>
                </w:p>
              </w:tc>
              <w:tc>
                <w:tcPr>
                  <w:tcW w:w="5781" w:type="dxa"/>
                  <w:noWrap w:val="0"/>
                  <w:vAlign w:val="center"/>
                </w:tcPr>
                <w:p>
                  <w:pPr>
                    <w:rPr>
                      <w:rFonts w:hint="eastAsia" w:ascii="宋体" w:hAnsi="宋体"/>
                      <w:sz w:val="20"/>
                      <w:szCs w:val="20"/>
                    </w:rPr>
                  </w:pPr>
                  <w:r>
                    <w:rPr>
                      <w:rFonts w:hint="eastAsia" w:ascii="宋体" w:hAnsi="宋体"/>
                      <w:sz w:val="20"/>
                      <w:szCs w:val="20"/>
                    </w:rPr>
                    <w:t>医学史、职业史调查；内科、外科、皮肤科常规检查；眼科检查（色觉、视力、晶体裂隙灯检查、玻璃体、眼底）；血常规和白细胞分类；尿常规；血糖；肝功能；肾功能；外周血淋巴细胞微核试验；心电图；腹部B超；胸部X射线摄影（在留取细胞遗传学检查所需血样后）。</w:t>
                  </w:r>
                </w:p>
              </w:tc>
              <w:tc>
                <w:tcPr>
                  <w:tcW w:w="560" w:type="dxa"/>
                  <w:noWrap w:val="0"/>
                  <w:vAlign w:val="center"/>
                </w:tcPr>
                <w:p>
                  <w:pPr>
                    <w:jc w:val="center"/>
                    <w:rPr>
                      <w:rFonts w:hint="eastAsia" w:ascii="宋体" w:hAnsi="宋体"/>
                      <w:sz w:val="20"/>
                      <w:szCs w:val="20"/>
                    </w:rPr>
                  </w:pPr>
                  <w:r>
                    <w:rPr>
                      <w:rFonts w:hint="eastAsia" w:ascii="宋体" w:hAnsi="宋体"/>
                      <w:sz w:val="20"/>
                      <w:szCs w:val="20"/>
                    </w:rPr>
                    <w:t>480人</w:t>
                  </w:r>
                </w:p>
              </w:tc>
            </w:tr>
          </w:tbl>
          <w:p>
            <w:pPr>
              <w:pStyle w:val="3"/>
              <w:spacing w:line="276" w:lineRule="auto"/>
              <w:rPr>
                <w:rFonts w:hint="eastAsia" w:ascii="宋体" w:hAnsi="宋体" w:eastAsia="宋体"/>
                <w:sz w:val="20"/>
                <w:szCs w:val="20"/>
              </w:rPr>
            </w:pPr>
          </w:p>
          <w:p>
            <w:pPr>
              <w:pStyle w:val="3"/>
              <w:spacing w:line="276" w:lineRule="auto"/>
              <w:rPr>
                <w:rFonts w:hint="eastAsia" w:ascii="黑体" w:hAnsi="黑体" w:eastAsia="黑体" w:cs="黑体"/>
                <w:iCs/>
                <w:kern w:val="0"/>
                <w:sz w:val="20"/>
                <w:szCs w:val="20"/>
                <w:lang w:bidi="ar"/>
              </w:rPr>
            </w:pPr>
            <w:r>
              <w:rPr>
                <w:rFonts w:hint="eastAsia" w:ascii="宋体" w:hAnsi="宋体" w:eastAsia="宋体"/>
                <w:sz w:val="20"/>
                <w:szCs w:val="20"/>
              </w:rPr>
              <w:t>注：以上人数为大致参考人数，具体人数按甲方上报人数为准。</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宋体" w:hAnsi="宋体" w:eastAsia="宋体" w:cs="宋体"/>
                <w:kern w:val="0"/>
                <w:sz w:val="21"/>
                <w:szCs w:val="21"/>
                <w:lang w:bidi="ar"/>
              </w:rPr>
            </w:pPr>
            <w:r>
              <w:rPr>
                <w:rFonts w:hint="eastAsia" w:ascii="宋体" w:hAnsi="宋体" w:eastAsia="宋体" w:cs="宋体"/>
                <w:sz w:val="21"/>
                <w:szCs w:val="21"/>
              </w:rPr>
              <w:t>企业承诺</w:t>
            </w:r>
          </w:p>
        </w:tc>
      </w:tr>
      <w:tr>
        <w:tblPrEx>
          <w:tblLayout w:type="fixed"/>
          <w:tblCellMar>
            <w:top w:w="0" w:type="dxa"/>
            <w:left w:w="108" w:type="dxa"/>
            <w:bottom w:w="0" w:type="dxa"/>
            <w:right w:w="108" w:type="dxa"/>
          </w:tblCellMar>
        </w:tblPrEx>
        <w:trPr>
          <w:trHeight w:val="23" w:hRule="atLeast"/>
        </w:trPr>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黑体" w:eastAsia="黑体" w:cs="黑体"/>
                <w:iCs/>
                <w:kern w:val="0"/>
                <w:sz w:val="20"/>
                <w:szCs w:val="20"/>
                <w:lang w:bidi="ar"/>
              </w:rPr>
            </w:pPr>
            <w:r>
              <w:rPr>
                <w:rFonts w:hint="eastAsia" w:ascii="宋体" w:hAnsi="宋体" w:eastAsia="宋体" w:cs="宋体"/>
                <w:sz w:val="21"/>
                <w:szCs w:val="21"/>
                <w:lang w:val="en-US" w:eastAsia="zh-CN"/>
              </w:rPr>
              <w:t>3</w:t>
            </w:r>
          </w:p>
        </w:tc>
        <w:tc>
          <w:tcPr>
            <w:tcW w:w="1272" w:type="dxa"/>
            <w:tcBorders>
              <w:top w:val="single" w:color="auto" w:sz="4" w:space="0"/>
              <w:left w:val="single" w:color="auto" w:sz="4" w:space="0"/>
              <w:bottom w:val="single" w:color="auto" w:sz="4" w:space="0"/>
              <w:right w:val="single" w:color="auto" w:sz="4" w:space="0"/>
            </w:tcBorders>
            <w:vAlign w:val="center"/>
          </w:tcPr>
          <w:p>
            <w:pPr>
              <w:spacing w:line="240" w:lineRule="exact"/>
              <w:textAlignment w:val="center"/>
              <w:rPr>
                <w:rFonts w:hint="eastAsia" w:ascii="黑体" w:hAnsi="宋体" w:eastAsia="黑体" w:cs="黑体"/>
                <w:kern w:val="0"/>
                <w:sz w:val="20"/>
                <w:szCs w:val="20"/>
                <w:lang w:bidi="ar"/>
              </w:rPr>
            </w:pPr>
            <w:r>
              <w:rPr>
                <w:rFonts w:hint="eastAsia" w:ascii="黑体" w:hAnsi="宋体" w:eastAsia="黑体" w:cs="黑体"/>
                <w:kern w:val="0"/>
                <w:sz w:val="20"/>
                <w:szCs w:val="20"/>
                <w:lang w:bidi="ar"/>
              </w:rPr>
              <w:t>适用</w:t>
            </w:r>
          </w:p>
          <w:p>
            <w:pPr>
              <w:spacing w:line="240" w:lineRule="exact"/>
              <w:textAlignment w:val="center"/>
              <w:rPr>
                <w:rFonts w:hint="eastAsia" w:ascii="宋体" w:hAnsi="宋体" w:eastAsia="宋体" w:cs="宋体"/>
                <w:kern w:val="0"/>
                <w:sz w:val="21"/>
                <w:szCs w:val="21"/>
                <w:lang w:bidi="ar"/>
              </w:rPr>
            </w:pPr>
            <w:r>
              <w:rPr>
                <w:rFonts w:hint="eastAsia" w:ascii="黑体" w:hAnsi="宋体" w:eastAsia="黑体" w:cs="黑体"/>
                <w:kern w:val="0"/>
                <w:sz w:val="20"/>
                <w:szCs w:val="20"/>
                <w:lang w:bidi="ar"/>
              </w:rPr>
              <w:t>标准</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pPr>
            <w:r>
              <w:rPr>
                <w:rFonts w:hint="eastAsia" w:ascii="黑体" w:hAnsi="宋体" w:eastAsia="黑体" w:cs="黑体"/>
                <w:kern w:val="0"/>
                <w:sz w:val="20"/>
                <w:szCs w:val="20"/>
                <w:lang w:bidi="ar"/>
              </w:rPr>
              <w:t>★</w:t>
            </w:r>
          </w:p>
        </w:tc>
        <w:tc>
          <w:tcPr>
            <w:tcW w:w="6992" w:type="dxa"/>
            <w:gridSpan w:val="2"/>
            <w:tcBorders>
              <w:top w:val="single" w:color="auto" w:sz="4" w:space="0"/>
              <w:left w:val="single" w:color="auto" w:sz="4" w:space="0"/>
              <w:bottom w:val="single" w:color="auto" w:sz="4" w:space="0"/>
              <w:right w:val="single" w:color="auto" w:sz="4" w:space="0"/>
            </w:tcBorders>
            <w:vAlign w:val="center"/>
          </w:tcPr>
          <w:p>
            <w:pPr>
              <w:pStyle w:val="3"/>
              <w:spacing w:line="276" w:lineRule="auto"/>
              <w:rPr>
                <w:rFonts w:hint="eastAsia" w:ascii="宋体" w:hAnsi="宋体" w:eastAsia="宋体"/>
                <w:sz w:val="20"/>
                <w:szCs w:val="20"/>
              </w:rPr>
            </w:pPr>
            <w:r>
              <w:rPr>
                <w:rFonts w:hint="eastAsia" w:ascii="宋体" w:hAnsi="宋体" w:eastAsia="宋体"/>
                <w:sz w:val="20"/>
                <w:szCs w:val="20"/>
              </w:rPr>
              <w:t>质量应符合现行国家、行业有关规范和标准的要求，达到合格标准。包括但不限于：</w:t>
            </w:r>
          </w:p>
          <w:p>
            <w:pPr>
              <w:adjustRightInd w:val="0"/>
              <w:snapToGrid w:val="0"/>
              <w:rPr>
                <w:rFonts w:hint="eastAsia" w:ascii="仿宋_GB2312" w:hAnsi="Calibri" w:eastAsia="仿宋_GB2312"/>
                <w:sz w:val="28"/>
                <w:szCs w:val="32"/>
              </w:rPr>
            </w:pPr>
            <w:r>
              <w:rPr>
                <w:rFonts w:hint="eastAsia" w:ascii="宋体" w:hAnsi="宋体"/>
                <w:sz w:val="20"/>
                <w:szCs w:val="20"/>
              </w:rPr>
              <w:t>（1）《中华人民共和国职业病防治法》（主席令第52号，2011年12月31日施行）</w:t>
            </w:r>
          </w:p>
          <w:p>
            <w:pPr>
              <w:adjustRightInd w:val="0"/>
              <w:snapToGrid w:val="0"/>
              <w:jc w:val="left"/>
              <w:rPr>
                <w:rFonts w:hint="eastAsia" w:ascii="宋体" w:hAnsi="宋体"/>
                <w:sz w:val="20"/>
                <w:szCs w:val="20"/>
              </w:rPr>
            </w:pPr>
            <w:r>
              <w:rPr>
                <w:rFonts w:hint="eastAsia" w:ascii="宋体" w:hAnsi="宋体"/>
                <w:sz w:val="20"/>
                <w:szCs w:val="20"/>
              </w:rPr>
              <w:t>（2）《放射性同位素与射线装置安全和防护条例》（国务院令第449号，2005年12月1日施行）</w:t>
            </w:r>
          </w:p>
          <w:p>
            <w:pPr>
              <w:adjustRightInd w:val="0"/>
              <w:snapToGrid w:val="0"/>
              <w:rPr>
                <w:rFonts w:hint="eastAsia" w:ascii="宋体" w:hAnsi="宋体"/>
                <w:sz w:val="20"/>
                <w:szCs w:val="20"/>
              </w:rPr>
            </w:pPr>
            <w:r>
              <w:rPr>
                <w:rFonts w:hint="eastAsia" w:ascii="宋体" w:hAnsi="宋体"/>
                <w:sz w:val="20"/>
                <w:szCs w:val="20"/>
              </w:rPr>
              <w:t>（3）《职业健康监护管理办法》（卫生部令第23号，2002年5月1日实施）</w:t>
            </w:r>
          </w:p>
          <w:p>
            <w:pPr>
              <w:adjustRightInd w:val="0"/>
              <w:snapToGrid w:val="0"/>
              <w:rPr>
                <w:rFonts w:hint="eastAsia" w:ascii="宋体" w:hAnsi="宋体"/>
                <w:sz w:val="20"/>
                <w:szCs w:val="20"/>
              </w:rPr>
            </w:pPr>
            <w:r>
              <w:rPr>
                <w:rFonts w:hint="eastAsia" w:ascii="宋体" w:hAnsi="宋体"/>
                <w:sz w:val="20"/>
                <w:szCs w:val="20"/>
              </w:rPr>
              <w:t>（4）《放射工作人员职业健康管理办法》（卫生部令第55号，2007年11月1日施行）</w:t>
            </w:r>
          </w:p>
          <w:p>
            <w:pPr>
              <w:adjustRightInd w:val="0"/>
              <w:snapToGrid w:val="0"/>
              <w:rPr>
                <w:rFonts w:hint="eastAsia" w:ascii="宋体" w:hAnsi="宋体"/>
                <w:sz w:val="20"/>
                <w:szCs w:val="20"/>
              </w:rPr>
            </w:pPr>
            <w:r>
              <w:rPr>
                <w:rFonts w:hint="eastAsia" w:ascii="宋体" w:hAnsi="宋体"/>
                <w:sz w:val="20"/>
                <w:szCs w:val="20"/>
              </w:rPr>
              <w:t>（5）《职业健康监护技术规范》GBZ188-2014</w:t>
            </w:r>
          </w:p>
          <w:p>
            <w:pPr>
              <w:adjustRightInd w:val="0"/>
              <w:snapToGrid w:val="0"/>
              <w:rPr>
                <w:rFonts w:hint="eastAsia" w:ascii="宋体" w:hAnsi="宋体"/>
                <w:sz w:val="20"/>
                <w:szCs w:val="20"/>
              </w:rPr>
            </w:pPr>
            <w:r>
              <w:rPr>
                <w:rFonts w:hint="eastAsia" w:ascii="宋体" w:hAnsi="宋体"/>
                <w:sz w:val="20"/>
                <w:szCs w:val="20"/>
              </w:rPr>
              <w:t>（6）《职业健康监护技术规范》GBZ188-2025（2026年8月1日实施）</w:t>
            </w:r>
          </w:p>
          <w:p>
            <w:pPr>
              <w:adjustRightInd w:val="0"/>
              <w:snapToGrid w:val="0"/>
              <w:rPr>
                <w:rFonts w:hint="eastAsia" w:ascii="宋体" w:hAnsi="宋体"/>
                <w:sz w:val="20"/>
                <w:szCs w:val="20"/>
              </w:rPr>
            </w:pPr>
            <w:r>
              <w:rPr>
                <w:rFonts w:hint="eastAsia" w:ascii="宋体" w:hAnsi="宋体"/>
                <w:sz w:val="20"/>
                <w:szCs w:val="20"/>
              </w:rPr>
              <w:t>（7）《放射工作人员职业健康监护技术规范》GBZ235</w:t>
            </w:r>
          </w:p>
          <w:p>
            <w:pPr>
              <w:adjustRightInd w:val="0"/>
              <w:snapToGrid w:val="0"/>
              <w:rPr>
                <w:rFonts w:hint="eastAsia" w:ascii="宋体" w:hAnsi="宋体"/>
                <w:sz w:val="20"/>
                <w:szCs w:val="20"/>
              </w:rPr>
            </w:pPr>
            <w:r>
              <w:rPr>
                <w:rFonts w:hint="eastAsia" w:ascii="宋体" w:hAnsi="宋体"/>
                <w:sz w:val="20"/>
                <w:szCs w:val="20"/>
              </w:rPr>
              <w:t>（8）《放射工作人员的健康标准》GBZ98</w:t>
            </w:r>
            <w:r>
              <w:rPr>
                <w:rFonts w:ascii="宋体" w:hAnsi="宋体"/>
                <w:sz w:val="20"/>
                <w:szCs w:val="20"/>
              </w:rPr>
              <w:t>—</w:t>
            </w:r>
            <w:r>
              <w:rPr>
                <w:rFonts w:hint="eastAsia" w:ascii="宋体" w:hAnsi="宋体"/>
                <w:sz w:val="20"/>
                <w:szCs w:val="20"/>
              </w:rPr>
              <w:t>2020</w:t>
            </w:r>
          </w:p>
          <w:p>
            <w:pPr>
              <w:adjustRightInd w:val="0"/>
              <w:snapToGrid w:val="0"/>
              <w:rPr>
                <w:rFonts w:hint="eastAsia" w:ascii="宋体" w:hAnsi="宋体"/>
                <w:sz w:val="20"/>
                <w:szCs w:val="20"/>
              </w:rPr>
            </w:pPr>
            <w:r>
              <w:rPr>
                <w:rFonts w:hint="eastAsia" w:ascii="宋体" w:hAnsi="宋体"/>
                <w:sz w:val="20"/>
                <w:szCs w:val="20"/>
              </w:rPr>
              <w:t>（9）《过量照射人员医学检查与处理原则》GBZ215-2009</w:t>
            </w:r>
          </w:p>
          <w:p>
            <w:pPr>
              <w:adjustRightInd w:val="0"/>
              <w:snapToGrid w:val="0"/>
              <w:rPr>
                <w:rFonts w:hint="eastAsia" w:ascii="宋体" w:hAnsi="宋体"/>
                <w:sz w:val="20"/>
                <w:szCs w:val="20"/>
              </w:rPr>
            </w:pPr>
            <w:r>
              <w:rPr>
                <w:rFonts w:hint="eastAsia" w:ascii="宋体" w:hAnsi="宋体"/>
                <w:sz w:val="20"/>
                <w:szCs w:val="20"/>
              </w:rPr>
              <w:t>（10）《过量照射人员医学检查与处理原则》GBZ215-2025（2026年9月1日实施）</w:t>
            </w:r>
          </w:p>
          <w:p>
            <w:pPr>
              <w:adjustRightInd w:val="0"/>
              <w:snapToGrid w:val="0"/>
              <w:rPr>
                <w:rFonts w:ascii="宋体" w:hAnsi="宋体"/>
                <w:sz w:val="20"/>
                <w:szCs w:val="20"/>
              </w:rPr>
            </w:pPr>
            <w:r>
              <w:rPr>
                <w:rFonts w:hint="eastAsia" w:ascii="宋体" w:hAnsi="宋体"/>
                <w:sz w:val="20"/>
                <w:szCs w:val="20"/>
              </w:rPr>
              <w:t>（11）《放射工作人员职业健康检查外周血淋巴细胞微核检测方法与受照剂量估算标准》GBZ328-2023</w:t>
            </w:r>
          </w:p>
          <w:p>
            <w:pPr>
              <w:adjustRightInd w:val="0"/>
              <w:snapToGrid w:val="0"/>
              <w:rPr>
                <w:rFonts w:hint="eastAsia" w:ascii="宋体" w:hAnsi="宋体"/>
                <w:sz w:val="20"/>
                <w:szCs w:val="20"/>
              </w:rPr>
            </w:pPr>
          </w:p>
          <w:p>
            <w:pPr>
              <w:adjustRightInd w:val="0"/>
              <w:snapToGrid w:val="0"/>
              <w:jc w:val="left"/>
              <w:rPr>
                <w:rFonts w:hint="eastAsia" w:ascii="宋体" w:hAnsi="宋体"/>
                <w:sz w:val="20"/>
                <w:szCs w:val="20"/>
              </w:rPr>
            </w:pPr>
            <w:r>
              <w:rPr>
                <w:rFonts w:hint="eastAsia" w:ascii="宋体" w:hAnsi="宋体"/>
                <w:sz w:val="20"/>
                <w:szCs w:val="20"/>
              </w:rPr>
              <w:t>以上所列的主要技术标准和规范，如未能达到国内最新标准时，供应商提供的服务应进行调整至符合最新的标准，体检价格不做调整。</w:t>
            </w:r>
          </w:p>
          <w:p>
            <w:pPr>
              <w:adjustRightInd w:val="0"/>
              <w:snapToGrid w:val="0"/>
              <w:rPr>
                <w:rFonts w:hint="eastAsia" w:ascii="宋体" w:hAnsi="宋体"/>
                <w:sz w:val="20"/>
                <w:szCs w:val="20"/>
              </w:rPr>
            </w:pPr>
          </w:p>
          <w:p>
            <w:pPr>
              <w:jc w:val="left"/>
            </w:pPr>
          </w:p>
        </w:tc>
        <w:tc>
          <w:tcPr>
            <w:tcW w:w="7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pPr>
            <w:r>
              <w:rPr>
                <w:rFonts w:hint="eastAsia" w:ascii="宋体" w:hAnsi="宋体" w:eastAsia="宋体" w:cs="宋体"/>
                <w:sz w:val="21"/>
                <w:szCs w:val="21"/>
              </w:rPr>
              <w:t>企业承诺</w:t>
            </w:r>
          </w:p>
        </w:tc>
      </w:tr>
      <w:tr>
        <w:tblPrEx>
          <w:tblLayout w:type="fixed"/>
          <w:tblCellMar>
            <w:top w:w="0" w:type="dxa"/>
            <w:left w:w="108" w:type="dxa"/>
            <w:bottom w:w="0" w:type="dxa"/>
            <w:right w:w="108" w:type="dxa"/>
          </w:tblCellMar>
        </w:tblPrEx>
        <w:trPr>
          <w:trHeight w:val="90" w:hRule="atLeast"/>
        </w:trPr>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黑体" w:eastAsia="黑体" w:cs="黑体"/>
                <w:iCs/>
                <w:kern w:val="0"/>
                <w:sz w:val="20"/>
                <w:szCs w:val="20"/>
                <w:lang w:bidi="ar"/>
              </w:rPr>
            </w:pPr>
            <w:r>
              <w:rPr>
                <w:rFonts w:hint="eastAsia" w:ascii="宋体" w:hAnsi="宋体" w:eastAsia="宋体" w:cs="宋体"/>
                <w:sz w:val="21"/>
                <w:szCs w:val="21"/>
                <w:lang w:val="en-US" w:eastAsia="zh-CN"/>
              </w:rPr>
              <w:t>4</w:t>
            </w:r>
          </w:p>
        </w:tc>
        <w:tc>
          <w:tcPr>
            <w:tcW w:w="1272" w:type="dxa"/>
            <w:tcBorders>
              <w:top w:val="single" w:color="auto" w:sz="4" w:space="0"/>
              <w:left w:val="single" w:color="auto" w:sz="4" w:space="0"/>
              <w:bottom w:val="single" w:color="auto" w:sz="4" w:space="0"/>
              <w:right w:val="single" w:color="auto" w:sz="4" w:space="0"/>
            </w:tcBorders>
            <w:vAlign w:val="center"/>
          </w:tcPr>
          <w:p>
            <w:pPr>
              <w:spacing w:line="240" w:lineRule="exact"/>
              <w:ind w:firstLine="100" w:firstLineChars="50"/>
              <w:jc w:val="center"/>
              <w:textAlignment w:val="center"/>
              <w:rPr>
                <w:rFonts w:hint="eastAsia" w:ascii="黑体" w:hAnsi="宋体" w:eastAsia="黑体" w:cs="黑体"/>
                <w:kern w:val="0"/>
                <w:sz w:val="20"/>
                <w:szCs w:val="20"/>
                <w:lang w:bidi="ar"/>
              </w:rPr>
            </w:pPr>
          </w:p>
          <w:p>
            <w:pPr>
              <w:spacing w:line="240" w:lineRule="exact"/>
              <w:jc w:val="center"/>
              <w:textAlignment w:val="center"/>
              <w:rPr>
                <w:rFonts w:hint="eastAsia" w:ascii="黑体" w:hAnsi="宋体" w:eastAsia="黑体" w:cs="黑体"/>
                <w:kern w:val="0"/>
                <w:sz w:val="20"/>
                <w:szCs w:val="20"/>
                <w:lang w:bidi="ar"/>
              </w:rPr>
            </w:pPr>
            <w:r>
              <w:rPr>
                <w:rFonts w:hint="eastAsia" w:ascii="黑体" w:hAnsi="宋体" w:eastAsia="黑体" w:cs="黑体"/>
                <w:kern w:val="0"/>
                <w:sz w:val="20"/>
                <w:szCs w:val="20"/>
                <w:lang w:bidi="ar"/>
              </w:rPr>
              <w:t>服务要求</w:t>
            </w:r>
          </w:p>
          <w:p>
            <w:pPr>
              <w:spacing w:line="240" w:lineRule="exact"/>
              <w:ind w:firstLine="200" w:firstLineChars="100"/>
              <w:jc w:val="center"/>
              <w:textAlignment w:val="center"/>
              <w:rPr>
                <w:rFonts w:hint="eastAsia" w:ascii="黑体" w:hAnsi="黑体" w:eastAsia="黑体" w:cs="黑体"/>
                <w:iCs/>
                <w:kern w:val="0"/>
                <w:sz w:val="20"/>
                <w:szCs w:val="20"/>
                <w:lang w:bidi="ar"/>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0"/>
                <w:sz w:val="21"/>
                <w:szCs w:val="21"/>
                <w:lang w:bidi="ar"/>
              </w:rPr>
            </w:pPr>
            <w:r>
              <w:rPr>
                <w:rFonts w:hint="eastAsia" w:ascii="黑体" w:hAnsi="宋体" w:eastAsia="黑体" w:cs="黑体"/>
                <w:kern w:val="0"/>
                <w:sz w:val="20"/>
                <w:szCs w:val="20"/>
                <w:lang w:bidi="ar"/>
              </w:rPr>
              <w:t>★</w:t>
            </w:r>
          </w:p>
        </w:tc>
        <w:tc>
          <w:tcPr>
            <w:tcW w:w="6992" w:type="dxa"/>
            <w:gridSpan w:val="2"/>
            <w:tcBorders>
              <w:top w:val="single" w:color="auto" w:sz="4" w:space="0"/>
              <w:left w:val="single" w:color="auto" w:sz="4" w:space="0"/>
              <w:bottom w:val="single" w:color="auto" w:sz="4" w:space="0"/>
              <w:right w:val="single" w:color="auto" w:sz="4" w:space="0"/>
            </w:tcBorders>
            <w:vAlign w:val="center"/>
          </w:tcPr>
          <w:p>
            <w:pPr>
              <w:spacing w:line="276" w:lineRule="auto"/>
              <w:rPr>
                <w:rFonts w:hint="eastAsia" w:ascii="宋体" w:hAnsi="宋体"/>
                <w:sz w:val="20"/>
                <w:szCs w:val="20"/>
              </w:rPr>
            </w:pPr>
            <w:r>
              <w:rPr>
                <w:rFonts w:hint="eastAsia" w:ascii="宋体" w:hAnsi="宋体"/>
                <w:sz w:val="20"/>
                <w:szCs w:val="20"/>
              </w:rPr>
              <w:t>1.供应商确保参检人员能够方便快捷预约体检，且不得在参检人员体检过程中推销与本次体检无关的其他产品或广告。</w:t>
            </w:r>
          </w:p>
          <w:p>
            <w:pPr>
              <w:spacing w:line="276" w:lineRule="auto"/>
              <w:rPr>
                <w:rFonts w:hint="eastAsia" w:ascii="宋体" w:hAnsi="宋体"/>
                <w:sz w:val="20"/>
                <w:szCs w:val="20"/>
              </w:rPr>
            </w:pPr>
            <w:r>
              <w:rPr>
                <w:rFonts w:hint="eastAsia" w:ascii="宋体" w:hAnsi="宋体"/>
                <w:sz w:val="20"/>
                <w:szCs w:val="20"/>
              </w:rPr>
              <w:t>2.检查之前应签订放射工作人员职业健康检查委托协议书。</w:t>
            </w:r>
          </w:p>
          <w:p>
            <w:pPr>
              <w:spacing w:line="276" w:lineRule="auto"/>
              <w:rPr>
                <w:rFonts w:hint="eastAsia" w:ascii="宋体" w:hAnsi="宋体"/>
                <w:sz w:val="20"/>
                <w:szCs w:val="20"/>
              </w:rPr>
            </w:pPr>
            <w:r>
              <w:rPr>
                <w:rFonts w:hint="eastAsia" w:ascii="宋体" w:hAnsi="宋体"/>
                <w:sz w:val="20"/>
                <w:szCs w:val="20"/>
              </w:rPr>
              <w:t>3.体检方式可以采取团检和散检两种方式。每年至少一次集中一段时间专场服务，其他时间散客接待。</w:t>
            </w:r>
          </w:p>
          <w:p>
            <w:pPr>
              <w:spacing w:line="276" w:lineRule="auto"/>
              <w:rPr>
                <w:rFonts w:hint="eastAsia" w:ascii="宋体" w:hAnsi="宋体"/>
                <w:sz w:val="20"/>
                <w:szCs w:val="20"/>
              </w:rPr>
            </w:pPr>
            <w:r>
              <w:rPr>
                <w:rFonts w:hint="eastAsia" w:ascii="宋体" w:hAnsi="宋体"/>
                <w:sz w:val="20"/>
                <w:szCs w:val="20"/>
              </w:rPr>
              <w:t>4.放射工作人员职业健康检查的工作程序应符合GBZ188、GBZ98的相关规定。</w:t>
            </w:r>
          </w:p>
          <w:p>
            <w:pPr>
              <w:spacing w:line="276" w:lineRule="auto"/>
              <w:rPr>
                <w:rFonts w:hint="eastAsia" w:ascii="宋体" w:hAnsi="宋体"/>
                <w:sz w:val="20"/>
                <w:szCs w:val="20"/>
              </w:rPr>
            </w:pPr>
            <w:r>
              <w:rPr>
                <w:rFonts w:hint="eastAsia" w:ascii="宋体" w:hAnsi="宋体"/>
                <w:sz w:val="20"/>
                <w:szCs w:val="20"/>
              </w:rPr>
              <w:t>5.供应商应按统计年度汇总职业健康检查结果，并将汇总资料和患有职业禁忌证的劳动者名单报告需求单位。</w:t>
            </w:r>
          </w:p>
          <w:p>
            <w:pPr>
              <w:spacing w:line="276" w:lineRule="auto"/>
              <w:rPr>
                <w:rFonts w:hint="eastAsia" w:ascii="宋体" w:hAnsi="宋体"/>
                <w:sz w:val="20"/>
                <w:szCs w:val="20"/>
              </w:rPr>
            </w:pPr>
            <w:r>
              <w:rPr>
                <w:rFonts w:hint="eastAsia" w:ascii="宋体" w:hAnsi="宋体"/>
                <w:sz w:val="20"/>
                <w:szCs w:val="20"/>
              </w:rPr>
              <w:t>6.体检过程中如参检人员对供应商出示的结果提出异议，供应商应提供免费二次复查。</w:t>
            </w:r>
          </w:p>
          <w:p>
            <w:pPr>
              <w:spacing w:line="276" w:lineRule="auto"/>
              <w:rPr>
                <w:rFonts w:hint="eastAsia" w:ascii="宋体" w:hAnsi="宋体"/>
                <w:sz w:val="20"/>
                <w:szCs w:val="20"/>
              </w:rPr>
            </w:pPr>
            <w:r>
              <w:rPr>
                <w:rFonts w:hint="eastAsia" w:ascii="宋体" w:hAnsi="宋体"/>
                <w:sz w:val="20"/>
                <w:szCs w:val="20"/>
              </w:rPr>
              <w:t>7. 供应商报价时应按体检项目明细进行单项报价及总价，并附上已标价清单。</w:t>
            </w:r>
          </w:p>
          <w:p>
            <w:pPr>
              <w:spacing w:line="276" w:lineRule="auto"/>
              <w:rPr>
                <w:rFonts w:hint="eastAsia" w:ascii="黑体" w:hAnsi="黑体" w:eastAsia="黑体" w:cs="黑体"/>
                <w:iCs/>
                <w:kern w:val="0"/>
                <w:sz w:val="20"/>
                <w:szCs w:val="20"/>
                <w:lang w:bidi="ar"/>
              </w:rPr>
            </w:pPr>
          </w:p>
        </w:tc>
        <w:tc>
          <w:tcPr>
            <w:tcW w:w="7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宋体" w:hAnsi="宋体" w:eastAsia="宋体" w:cs="宋体"/>
                <w:kern w:val="0"/>
                <w:sz w:val="21"/>
                <w:szCs w:val="21"/>
                <w:lang w:bidi="ar"/>
              </w:rPr>
            </w:pPr>
            <w:r>
              <w:rPr>
                <w:rFonts w:hint="eastAsia" w:ascii="宋体" w:hAnsi="宋体" w:eastAsia="宋体" w:cs="宋体"/>
                <w:sz w:val="21"/>
                <w:szCs w:val="21"/>
              </w:rPr>
              <w:t>企业承诺</w:t>
            </w:r>
          </w:p>
        </w:tc>
      </w:tr>
      <w:tr>
        <w:tblPrEx>
          <w:tblLayout w:type="fixed"/>
          <w:tblCellMar>
            <w:top w:w="0" w:type="dxa"/>
            <w:left w:w="108" w:type="dxa"/>
            <w:bottom w:w="0" w:type="dxa"/>
            <w:right w:w="108" w:type="dxa"/>
          </w:tblCellMar>
        </w:tblPrEx>
        <w:trPr>
          <w:trHeight w:val="23" w:hRule="atLeast"/>
        </w:trPr>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黑体" w:eastAsia="黑体" w:cs="黑体"/>
                <w:iCs/>
                <w:kern w:val="0"/>
                <w:sz w:val="20"/>
                <w:szCs w:val="20"/>
                <w:lang w:bidi="ar"/>
              </w:rPr>
            </w:pPr>
            <w:r>
              <w:rPr>
                <w:rFonts w:hint="eastAsia" w:ascii="宋体" w:hAnsi="宋体" w:eastAsia="宋体" w:cs="宋体"/>
                <w:sz w:val="21"/>
                <w:szCs w:val="21"/>
                <w:lang w:val="en-US" w:eastAsia="zh-CN"/>
              </w:rPr>
              <w:t>5</w:t>
            </w:r>
          </w:p>
        </w:tc>
        <w:tc>
          <w:tcPr>
            <w:tcW w:w="127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hint="eastAsia" w:ascii="黑体" w:hAnsi="黑体" w:eastAsia="黑体" w:cs="黑体"/>
                <w:iCs/>
                <w:kern w:val="0"/>
                <w:sz w:val="20"/>
                <w:szCs w:val="20"/>
                <w:lang w:bidi="ar"/>
              </w:rPr>
            </w:pPr>
            <w:r>
              <w:rPr>
                <w:rFonts w:hint="eastAsia" w:ascii="黑体" w:hAnsi="宋体" w:eastAsia="黑体" w:cs="黑体"/>
                <w:kern w:val="0"/>
                <w:sz w:val="20"/>
                <w:szCs w:val="20"/>
                <w:lang w:bidi="ar"/>
              </w:rPr>
              <w:t>检查结果评价</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0"/>
                <w:sz w:val="21"/>
                <w:szCs w:val="21"/>
                <w:lang w:bidi="ar"/>
              </w:rPr>
            </w:pPr>
            <w:r>
              <w:rPr>
                <w:rFonts w:hint="eastAsia" w:ascii="黑体" w:hAnsi="宋体" w:eastAsia="黑体" w:cs="黑体"/>
                <w:kern w:val="0"/>
                <w:sz w:val="20"/>
                <w:szCs w:val="20"/>
                <w:lang w:bidi="ar"/>
              </w:rPr>
              <w:t>★</w:t>
            </w:r>
          </w:p>
        </w:tc>
        <w:tc>
          <w:tcPr>
            <w:tcW w:w="699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sz w:val="20"/>
                <w:szCs w:val="20"/>
              </w:rPr>
            </w:pPr>
            <w:r>
              <w:rPr>
                <w:rFonts w:hint="eastAsia" w:ascii="宋体" w:hAnsi="宋体"/>
                <w:sz w:val="20"/>
                <w:szCs w:val="20"/>
              </w:rPr>
              <w:t>1. 评价原则</w:t>
            </w:r>
          </w:p>
          <w:p>
            <w:pPr>
              <w:rPr>
                <w:rFonts w:hint="eastAsia" w:ascii="宋体" w:hAnsi="宋体"/>
                <w:sz w:val="20"/>
                <w:szCs w:val="20"/>
              </w:rPr>
            </w:pPr>
            <w:r>
              <w:rPr>
                <w:rFonts w:hint="eastAsia" w:ascii="宋体" w:hAnsi="宋体"/>
                <w:sz w:val="20"/>
                <w:szCs w:val="20"/>
              </w:rPr>
              <w:t>1.1放射工作人员职业健康检查机构出具的报告应当客观、真实，并对职业健康检查报告负责；</w:t>
            </w:r>
          </w:p>
          <w:p>
            <w:pPr>
              <w:rPr>
                <w:rFonts w:hint="eastAsia" w:ascii="宋体" w:hAnsi="宋体"/>
                <w:sz w:val="20"/>
                <w:szCs w:val="20"/>
              </w:rPr>
            </w:pPr>
            <w:r>
              <w:rPr>
                <w:rFonts w:hint="eastAsia" w:ascii="宋体" w:hAnsi="宋体"/>
                <w:sz w:val="20"/>
                <w:szCs w:val="20"/>
              </w:rPr>
              <w:t>1.2 一般放射工作人员的检查结果应依据GBZ98进行评价；</w:t>
            </w:r>
          </w:p>
          <w:p>
            <w:pPr>
              <w:rPr>
                <w:rFonts w:hint="eastAsia" w:ascii="宋体" w:hAnsi="宋体"/>
                <w:sz w:val="20"/>
                <w:szCs w:val="20"/>
              </w:rPr>
            </w:pPr>
            <w:r>
              <w:rPr>
                <w:rFonts w:hint="eastAsia" w:ascii="宋体" w:hAnsi="宋体"/>
                <w:sz w:val="20"/>
                <w:szCs w:val="20"/>
              </w:rPr>
              <w:t>1.3 对每份《放射工作人员职业健康检查表》，应由主检医师填写检查结论和处理意见并签名。</w:t>
            </w:r>
          </w:p>
          <w:p>
            <w:pPr>
              <w:rPr>
                <w:rFonts w:hint="eastAsia" w:ascii="宋体" w:hAnsi="宋体"/>
                <w:sz w:val="20"/>
                <w:szCs w:val="20"/>
              </w:rPr>
            </w:pPr>
            <w:r>
              <w:rPr>
                <w:rFonts w:hint="eastAsia" w:ascii="宋体" w:hAnsi="宋体"/>
                <w:sz w:val="20"/>
                <w:szCs w:val="20"/>
              </w:rPr>
              <w:t>1.4 为保证评价报告的质量，需要由主检医师填写汇总的异常体检结果和处理意见并签名；由审核人对主检医师的处理意见进行审核并签名；再由签发人（必须为单位技术负责人）确认无误并签名，评价报告方可发出。</w:t>
            </w:r>
          </w:p>
          <w:p>
            <w:pPr>
              <w:rPr>
                <w:rFonts w:hint="eastAsia" w:ascii="宋体" w:hAnsi="宋体"/>
                <w:sz w:val="20"/>
                <w:szCs w:val="20"/>
              </w:rPr>
            </w:pPr>
            <w:r>
              <w:rPr>
                <w:rFonts w:hint="eastAsia" w:ascii="宋体" w:hAnsi="宋体"/>
                <w:sz w:val="20"/>
                <w:szCs w:val="20"/>
              </w:rPr>
              <w:t>2. 主检医师的责任与义务</w:t>
            </w:r>
          </w:p>
          <w:p>
            <w:pPr>
              <w:rPr>
                <w:rFonts w:hint="eastAsia" w:ascii="宋体" w:hAnsi="宋体"/>
                <w:sz w:val="20"/>
                <w:szCs w:val="20"/>
              </w:rPr>
            </w:pPr>
            <w:r>
              <w:rPr>
                <w:rFonts w:hint="eastAsia" w:ascii="宋体" w:hAnsi="宋体"/>
                <w:sz w:val="20"/>
                <w:szCs w:val="20"/>
              </w:rPr>
              <w:t>2.1 放射工作人员职业健康检查应遵守职业健康监护的伦理道德规范，保护放射工作人员的隐私，采取必要的措施防止职业健康检查结果被用于不正当目的。</w:t>
            </w:r>
          </w:p>
          <w:p>
            <w:pPr>
              <w:rPr>
                <w:rFonts w:hint="eastAsia" w:ascii="宋体" w:hAnsi="宋体"/>
                <w:sz w:val="20"/>
                <w:szCs w:val="20"/>
              </w:rPr>
            </w:pPr>
            <w:r>
              <w:rPr>
                <w:rFonts w:hint="eastAsia" w:ascii="宋体" w:hAnsi="宋体"/>
                <w:sz w:val="20"/>
                <w:szCs w:val="20"/>
              </w:rPr>
              <w:t>2.2主检医师有义务接受放射工作人员对健康检查结果的质疑或咨询，要如实地向放射工作人员解释检查结果和提出的问题，解释时应考虑放射工作人员的文化程度和理解能力。</w:t>
            </w:r>
          </w:p>
          <w:p>
            <w:pPr>
              <w:rPr>
                <w:rFonts w:hint="eastAsia" w:ascii="宋体" w:hAnsi="宋体"/>
                <w:sz w:val="20"/>
                <w:szCs w:val="20"/>
              </w:rPr>
            </w:pPr>
            <w:r>
              <w:rPr>
                <w:rFonts w:hint="eastAsia" w:ascii="宋体" w:hAnsi="宋体"/>
                <w:sz w:val="20"/>
                <w:szCs w:val="20"/>
              </w:rPr>
              <w:t>2.3 主检医师应当向下列放射工作人员提供必要的职业健康咨询和医学建议：</w:t>
            </w:r>
          </w:p>
          <w:p>
            <w:pPr>
              <w:rPr>
                <w:rFonts w:hint="eastAsia" w:ascii="宋体" w:hAnsi="宋体"/>
                <w:sz w:val="20"/>
                <w:szCs w:val="20"/>
              </w:rPr>
            </w:pPr>
            <w:r>
              <w:rPr>
                <w:rFonts w:hint="eastAsia" w:ascii="宋体" w:hAnsi="宋体"/>
                <w:sz w:val="20"/>
                <w:szCs w:val="20"/>
              </w:rPr>
              <w:t>a) 怀孕或可能怀孕的以及哺乳期的女性放射工作人员；</w:t>
            </w:r>
          </w:p>
          <w:p>
            <w:pPr>
              <w:rPr>
                <w:rFonts w:hint="eastAsia" w:ascii="宋体" w:hAnsi="宋体"/>
                <w:sz w:val="20"/>
                <w:szCs w:val="20"/>
              </w:rPr>
            </w:pPr>
            <w:r>
              <w:rPr>
                <w:rFonts w:hint="eastAsia" w:ascii="宋体" w:hAnsi="宋体"/>
                <w:sz w:val="20"/>
                <w:szCs w:val="20"/>
              </w:rPr>
              <w:t>b) 已经或可能受到明显超过个人剂量限值照射的放射工作人员；</w:t>
            </w:r>
          </w:p>
          <w:p>
            <w:pPr>
              <w:rPr>
                <w:rFonts w:hint="eastAsia" w:ascii="宋体" w:hAnsi="宋体"/>
                <w:sz w:val="20"/>
                <w:szCs w:val="20"/>
              </w:rPr>
            </w:pPr>
            <w:r>
              <w:rPr>
                <w:rFonts w:hint="eastAsia" w:ascii="宋体" w:hAnsi="宋体"/>
                <w:sz w:val="20"/>
                <w:szCs w:val="20"/>
              </w:rPr>
              <w:t>c) 可能对自己受到辐射照射的情况感到忧虑的放射工作人员；</w:t>
            </w:r>
          </w:p>
          <w:p>
            <w:pPr>
              <w:rPr>
                <w:rFonts w:hint="eastAsia" w:ascii="宋体" w:hAnsi="宋体"/>
                <w:sz w:val="20"/>
                <w:szCs w:val="20"/>
              </w:rPr>
            </w:pPr>
            <w:r>
              <w:rPr>
                <w:rFonts w:hint="eastAsia" w:ascii="宋体" w:hAnsi="宋体"/>
                <w:sz w:val="20"/>
                <w:szCs w:val="20"/>
              </w:rPr>
              <w:t>d) 由于其他原因而要求咨询的放射工作人员。</w:t>
            </w:r>
          </w:p>
          <w:p>
            <w:pPr>
              <w:rPr>
                <w:rFonts w:hint="eastAsia" w:ascii="宋体" w:hAnsi="宋体"/>
                <w:sz w:val="20"/>
                <w:szCs w:val="20"/>
              </w:rPr>
            </w:pPr>
            <w:r>
              <w:rPr>
                <w:rFonts w:hint="eastAsia" w:ascii="宋体" w:hAnsi="宋体"/>
                <w:sz w:val="20"/>
                <w:szCs w:val="20"/>
              </w:rPr>
              <w:t>2.4 在保护放射工作人员职业健康的广义的职责范围内，必要时，主检医师可以向用人单位建议增加除国家法规和标准规定的基本要求之外必要的健康检查项目。</w:t>
            </w:r>
          </w:p>
          <w:p>
            <w:pPr>
              <w:rPr>
                <w:rFonts w:hint="eastAsia" w:ascii="宋体" w:hAnsi="宋体"/>
                <w:sz w:val="20"/>
                <w:szCs w:val="20"/>
              </w:rPr>
            </w:pPr>
            <w:r>
              <w:rPr>
                <w:rFonts w:hint="eastAsia" w:ascii="宋体" w:hAnsi="宋体"/>
                <w:sz w:val="20"/>
                <w:szCs w:val="20"/>
              </w:rPr>
              <w:t>2.5 发现疑似职业性放射性疾病人员，主检医师应通知其本人及其所在放射工作单位；同时主检医师应建议其到有资质的职业性放射性疾病诊断机构做进一步的检查和诊断。</w:t>
            </w:r>
          </w:p>
          <w:p>
            <w:pPr>
              <w:rPr>
                <w:rFonts w:hint="eastAsia" w:ascii="宋体" w:hAnsi="宋体"/>
                <w:sz w:val="20"/>
                <w:szCs w:val="20"/>
              </w:rPr>
            </w:pPr>
            <w:r>
              <w:rPr>
                <w:rFonts w:hint="eastAsia" w:ascii="宋体" w:hAnsi="宋体"/>
                <w:sz w:val="20"/>
                <w:szCs w:val="20"/>
              </w:rPr>
              <w:t>3. 实验室结果评价</w:t>
            </w:r>
          </w:p>
          <w:p>
            <w:pPr>
              <w:rPr>
                <w:rFonts w:hint="eastAsia" w:ascii="宋体" w:hAnsi="宋体"/>
                <w:sz w:val="20"/>
                <w:szCs w:val="20"/>
              </w:rPr>
            </w:pPr>
            <w:r>
              <w:rPr>
                <w:rFonts w:hint="eastAsia" w:ascii="宋体" w:hAnsi="宋体"/>
                <w:sz w:val="20"/>
                <w:szCs w:val="20"/>
              </w:rPr>
              <w:t>3.1 评价原则：按照GBZ98执行。</w:t>
            </w:r>
          </w:p>
          <w:p>
            <w:pPr>
              <w:rPr>
                <w:rFonts w:hint="eastAsia" w:ascii="黑体" w:hAnsi="黑体" w:eastAsia="黑体" w:cs="黑体"/>
                <w:iCs/>
                <w:kern w:val="0"/>
                <w:sz w:val="20"/>
                <w:szCs w:val="20"/>
                <w:lang w:bidi="ar"/>
              </w:rPr>
            </w:pPr>
            <w:r>
              <w:rPr>
                <w:rFonts w:hint="eastAsia" w:ascii="宋体" w:hAnsi="宋体"/>
                <w:sz w:val="20"/>
                <w:szCs w:val="20"/>
              </w:rPr>
              <w:t>3.2异常结果复查：建议3个月内复查1～2次，每次间隔1至2周，复查应在同一检查机构进行。</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宋体" w:hAnsi="宋体" w:eastAsia="宋体" w:cs="宋体"/>
                <w:kern w:val="0"/>
                <w:sz w:val="21"/>
                <w:szCs w:val="21"/>
                <w:lang w:bidi="ar"/>
              </w:rPr>
            </w:pPr>
            <w:r>
              <w:rPr>
                <w:rFonts w:hint="eastAsia" w:ascii="宋体" w:hAnsi="宋体" w:eastAsia="宋体" w:cs="宋体"/>
                <w:sz w:val="21"/>
                <w:szCs w:val="21"/>
              </w:rPr>
              <w:t>企业承诺</w:t>
            </w:r>
          </w:p>
        </w:tc>
      </w:tr>
      <w:tr>
        <w:tblPrEx>
          <w:tblLayout w:type="fixed"/>
          <w:tblCellMar>
            <w:top w:w="0" w:type="dxa"/>
            <w:left w:w="108" w:type="dxa"/>
            <w:bottom w:w="0" w:type="dxa"/>
            <w:right w:w="108" w:type="dxa"/>
          </w:tblCellMar>
        </w:tblPrEx>
        <w:trPr>
          <w:trHeight w:val="23" w:hRule="atLeast"/>
        </w:trPr>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color w:val="000000"/>
                <w:kern w:val="0"/>
                <w:sz w:val="20"/>
                <w:szCs w:val="20"/>
                <w:lang w:val="en-US" w:eastAsia="zh-CN"/>
              </w:rPr>
            </w:pPr>
            <w:r>
              <w:rPr>
                <w:rFonts w:hint="eastAsia" w:ascii="宋体" w:hAnsi="宋体" w:eastAsia="宋体" w:cs="宋体"/>
                <w:sz w:val="21"/>
                <w:szCs w:val="21"/>
                <w:lang w:val="en-US" w:eastAsia="zh-CN"/>
              </w:rPr>
              <w:t>6</w:t>
            </w:r>
          </w:p>
        </w:tc>
        <w:tc>
          <w:tcPr>
            <w:tcW w:w="127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hint="eastAsia" w:ascii="黑体" w:hAnsi="宋体" w:eastAsia="黑体" w:cs="黑体"/>
                <w:kern w:val="0"/>
                <w:sz w:val="20"/>
                <w:szCs w:val="20"/>
                <w:lang w:bidi="ar"/>
              </w:rPr>
            </w:pPr>
            <w:r>
              <w:rPr>
                <w:rFonts w:hint="eastAsia" w:ascii="黑体" w:hAnsi="宋体" w:eastAsia="黑体" w:cs="黑体"/>
                <w:kern w:val="0"/>
                <w:sz w:val="20"/>
                <w:szCs w:val="20"/>
                <w:lang w:bidi="ar"/>
              </w:rPr>
              <w:t>检查报告及复查报告</w:t>
            </w:r>
          </w:p>
          <w:p>
            <w:pPr>
              <w:spacing w:line="240" w:lineRule="exact"/>
              <w:ind w:firstLine="100" w:firstLineChars="50"/>
              <w:textAlignment w:val="center"/>
              <w:rPr>
                <w:rFonts w:hint="eastAsia" w:ascii="黑体" w:hAnsi="宋体" w:eastAsia="黑体" w:cs="黑体"/>
                <w:color w:val="000000"/>
                <w:kern w:val="0"/>
                <w:sz w:val="20"/>
                <w:szCs w:val="20"/>
              </w:rPr>
            </w:pP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0"/>
                <w:sz w:val="21"/>
                <w:szCs w:val="21"/>
                <w:lang w:bidi="ar"/>
              </w:rPr>
            </w:pPr>
            <w:r>
              <w:rPr>
                <w:rFonts w:hint="eastAsia" w:ascii="黑体" w:hAnsi="宋体" w:eastAsia="黑体" w:cs="黑体"/>
                <w:kern w:val="0"/>
                <w:sz w:val="20"/>
                <w:szCs w:val="20"/>
                <w:lang w:bidi="ar"/>
              </w:rPr>
              <w:t>★</w:t>
            </w:r>
          </w:p>
        </w:tc>
        <w:tc>
          <w:tcPr>
            <w:tcW w:w="699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sz w:val="20"/>
                <w:szCs w:val="20"/>
              </w:rPr>
            </w:pPr>
            <w:r>
              <w:rPr>
                <w:rFonts w:hint="eastAsia" w:ascii="宋体" w:hAnsi="宋体"/>
                <w:sz w:val="20"/>
                <w:szCs w:val="20"/>
              </w:rPr>
              <w:t>1.放射工作人员职业健康检查机构应统一使用《北京市放射工作人员职业健康检查表》（见附件1），将检查结果及处理意见记录在检查表上。</w:t>
            </w:r>
          </w:p>
          <w:p>
            <w:pPr>
              <w:rPr>
                <w:rFonts w:ascii="宋体" w:hAnsi="宋体"/>
                <w:sz w:val="20"/>
                <w:szCs w:val="20"/>
              </w:rPr>
            </w:pPr>
            <w:r>
              <w:rPr>
                <w:rFonts w:hint="eastAsia" w:ascii="宋体" w:hAnsi="宋体"/>
                <w:sz w:val="20"/>
                <w:szCs w:val="20"/>
              </w:rPr>
              <w:t xml:space="preserve">2.受委托的职业健康检查机构为需求单位出具职业健康检查报告时应遵循的原则同GBZ 188，包括汇总报告和个体报告。 </w:t>
            </w:r>
          </w:p>
          <w:p>
            <w:pPr>
              <w:rPr>
                <w:rFonts w:hint="eastAsia" w:ascii="宋体" w:hAnsi="宋体"/>
                <w:sz w:val="20"/>
                <w:szCs w:val="20"/>
              </w:rPr>
            </w:pPr>
            <w:r>
              <w:rPr>
                <w:rFonts w:hint="eastAsia" w:ascii="宋体" w:hAnsi="宋体"/>
                <w:sz w:val="20"/>
                <w:szCs w:val="20"/>
              </w:rPr>
              <w:t xml:space="preserve">3.汇总报告是对需求单位本次职业健康检查结果的全面总结，一般包括单位基本信息、检查结果分析和适任性评价三部分内容。基本信息包括受检单位名称、放射因素名称、受检单位应检人数、实际受检人数、职业照射种类、检查时间及地点等信息；检查结果分析包括未见异常人员名单、各种异常或疾病人员名单及处理建议、复查人员名单，并附个人职业健康检查结果一览表（见附件2），由体检机构主检医师填写并签名，审核人审核并签名，最后由签发人确认并签名后，方可发出。与放射危害因素相关的检查结果异常包括外周血淋巴细胞染色体畸变率和/或淋巴细胞微核率异常，血细胞分析中白细胞和血小板异常等，均需要提供复查结果，依据复查结果给出适任性评价。 </w:t>
            </w:r>
          </w:p>
          <w:p>
            <w:pPr>
              <w:rPr>
                <w:rFonts w:hint="eastAsia" w:ascii="宋体" w:hAnsi="宋体"/>
                <w:sz w:val="20"/>
                <w:szCs w:val="20"/>
              </w:rPr>
            </w:pPr>
            <w:r>
              <w:rPr>
                <w:rFonts w:hint="eastAsia" w:ascii="宋体" w:hAnsi="宋体"/>
                <w:sz w:val="20"/>
                <w:szCs w:val="20"/>
              </w:rPr>
              <w:t>4.填写个体报告，检查结果出现单项或多项异常，需要复查确定的，应明确复查的内容和时间；由主检医师对检查结论进行审核后给出适任性意见并签名，发现疑似放射损伤的人员，在个体报告和汇总报告中均应予以载明，并由职业健康检查机构通知需求单位，并及时告知放射工作人员本人，同时提示放射工作人员到相关的放射性疾病诊断机构进一步明确诊断。</w:t>
            </w:r>
          </w:p>
          <w:p>
            <w:pPr>
              <w:rPr>
                <w:rFonts w:hint="eastAsia" w:ascii="宋体" w:hAnsi="宋体"/>
                <w:sz w:val="20"/>
                <w:szCs w:val="20"/>
              </w:rPr>
            </w:pPr>
            <w:r>
              <w:rPr>
                <w:rFonts w:hint="eastAsia" w:ascii="宋体" w:hAnsi="宋体"/>
                <w:sz w:val="20"/>
                <w:szCs w:val="20"/>
              </w:rPr>
              <w:t>5.供应商应自体检工作结束之日起30日内，为用人单位出具职业健康检查报告（纸质版+电子版），并对报告内容负责。</w:t>
            </w:r>
          </w:p>
          <w:p>
            <w:pPr>
              <w:rPr>
                <w:rFonts w:hint="eastAsia" w:ascii="黑体" w:hAnsi="宋体" w:eastAsia="黑体"/>
                <w:color w:val="000000"/>
                <w:sz w:val="20"/>
                <w:szCs w:val="20"/>
              </w:rPr>
            </w:pPr>
            <w:r>
              <w:rPr>
                <w:rFonts w:hint="eastAsia" w:ascii="宋体" w:hAnsi="宋体"/>
                <w:sz w:val="20"/>
                <w:szCs w:val="20"/>
              </w:rPr>
              <w:t>6.复查报告（见附件3）由体检机构主检医师填写并签名。</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宋体" w:hAnsi="宋体" w:eastAsia="宋体" w:cs="宋体"/>
                <w:i/>
                <w:iCs/>
                <w:sz w:val="21"/>
                <w:szCs w:val="21"/>
                <w:lang w:eastAsia="zh-CN"/>
              </w:rPr>
            </w:pPr>
            <w:r>
              <w:rPr>
                <w:rFonts w:hint="eastAsia" w:ascii="宋体" w:hAnsi="宋体" w:eastAsia="宋体" w:cs="宋体"/>
                <w:sz w:val="21"/>
                <w:szCs w:val="21"/>
              </w:rPr>
              <w:t>企业承诺</w:t>
            </w:r>
          </w:p>
        </w:tc>
      </w:tr>
      <w:tr>
        <w:tblPrEx>
          <w:tblLayout w:type="fixed"/>
          <w:tblCellMar>
            <w:top w:w="0" w:type="dxa"/>
            <w:left w:w="108" w:type="dxa"/>
            <w:bottom w:w="0" w:type="dxa"/>
            <w:right w:w="108" w:type="dxa"/>
          </w:tblCellMar>
        </w:tblPrEx>
        <w:trPr>
          <w:trHeight w:val="777" w:hRule="atLeast"/>
        </w:trPr>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color w:val="000000"/>
                <w:kern w:val="0"/>
                <w:sz w:val="20"/>
                <w:szCs w:val="20"/>
                <w:lang w:val="en-US" w:eastAsia="zh-CN"/>
              </w:rPr>
            </w:pPr>
            <w:r>
              <w:rPr>
                <w:rFonts w:hint="eastAsia" w:ascii="宋体" w:hAnsi="宋体" w:eastAsia="宋体" w:cs="宋体"/>
                <w:sz w:val="21"/>
                <w:szCs w:val="21"/>
                <w:lang w:val="en-US" w:eastAsia="zh-CN"/>
              </w:rPr>
              <w:t>7</w:t>
            </w:r>
          </w:p>
        </w:tc>
        <w:tc>
          <w:tcPr>
            <w:tcW w:w="127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hint="eastAsia" w:ascii="黑体" w:hAnsi="宋体" w:eastAsia="黑体" w:cs="黑体"/>
                <w:color w:val="000000"/>
                <w:kern w:val="0"/>
                <w:sz w:val="20"/>
                <w:szCs w:val="20"/>
              </w:rPr>
            </w:pPr>
            <w:r>
              <w:rPr>
                <w:rFonts w:hint="eastAsia" w:ascii="黑体" w:hAnsi="宋体" w:eastAsia="黑体" w:cs="黑体"/>
                <w:kern w:val="0"/>
                <w:sz w:val="20"/>
                <w:szCs w:val="20"/>
                <w:lang w:bidi="ar"/>
              </w:rPr>
              <w:t>医学随访观察</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kern w:val="0"/>
                <w:sz w:val="21"/>
                <w:szCs w:val="21"/>
                <w:lang w:bidi="ar"/>
              </w:rPr>
            </w:pPr>
            <w:r>
              <w:rPr>
                <w:rFonts w:hint="eastAsia" w:ascii="黑体" w:hAnsi="宋体" w:eastAsia="黑体" w:cs="黑体"/>
                <w:kern w:val="0"/>
                <w:sz w:val="20"/>
                <w:szCs w:val="20"/>
                <w:lang w:bidi="ar"/>
              </w:rPr>
              <w:t>★</w:t>
            </w:r>
          </w:p>
        </w:tc>
        <w:tc>
          <w:tcPr>
            <w:tcW w:w="6992"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黑体" w:hAnsi="宋体" w:eastAsia="黑体"/>
                <w:color w:val="000000"/>
                <w:sz w:val="20"/>
                <w:szCs w:val="20"/>
              </w:rPr>
            </w:pPr>
            <w:r>
              <w:rPr>
                <w:rFonts w:hint="eastAsia" w:ascii="宋体" w:hAnsi="宋体"/>
                <w:sz w:val="20"/>
                <w:szCs w:val="20"/>
              </w:rPr>
              <w:t>对受到过量照射的放射工作人员，应按GBZ215-2009《过量照射人员医学检查与处理原则》的规定进行医学随访观察。</w:t>
            </w:r>
          </w:p>
        </w:tc>
        <w:tc>
          <w:tcPr>
            <w:tcW w:w="7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宋体" w:hAnsi="宋体" w:eastAsia="宋体" w:cs="宋体"/>
                <w:i/>
                <w:iCs/>
                <w:sz w:val="21"/>
                <w:szCs w:val="21"/>
                <w:lang w:eastAsia="zh-CN"/>
              </w:rPr>
            </w:pPr>
            <w:r>
              <w:rPr>
                <w:rFonts w:hint="eastAsia" w:ascii="宋体" w:hAnsi="宋体" w:eastAsia="宋体" w:cs="宋体"/>
                <w:sz w:val="21"/>
                <w:szCs w:val="21"/>
              </w:rPr>
              <w:t>企业承诺</w:t>
            </w:r>
          </w:p>
        </w:tc>
      </w:tr>
      <w:tr>
        <w:tblPrEx>
          <w:tblLayout w:type="fixed"/>
          <w:tblCellMar>
            <w:top w:w="0" w:type="dxa"/>
            <w:left w:w="108" w:type="dxa"/>
            <w:bottom w:w="0" w:type="dxa"/>
            <w:right w:w="108" w:type="dxa"/>
          </w:tblCellMar>
        </w:tblPrEx>
        <w:trPr>
          <w:trHeight w:val="901" w:hRule="atLeast"/>
        </w:trPr>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黑体" w:eastAsia="黑体" w:cs="黑体"/>
                <w:kern w:val="0"/>
                <w:sz w:val="20"/>
              </w:rPr>
            </w:pPr>
            <w:r>
              <w:rPr>
                <w:rFonts w:hint="eastAsia" w:ascii="宋体" w:hAnsi="宋体" w:eastAsia="宋体" w:cs="宋体"/>
                <w:sz w:val="21"/>
                <w:szCs w:val="21"/>
                <w:lang w:val="en-US" w:eastAsia="zh-CN"/>
              </w:rPr>
              <w:t>8</w:t>
            </w:r>
          </w:p>
        </w:tc>
        <w:tc>
          <w:tcPr>
            <w:tcW w:w="127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hint="eastAsia" w:ascii="黑体" w:hAnsi="黑体" w:eastAsia="黑体" w:cs="黑体"/>
                <w:kern w:val="0"/>
                <w:sz w:val="20"/>
              </w:rPr>
            </w:pPr>
            <w:r>
              <w:rPr>
                <w:rFonts w:hint="eastAsia" w:ascii="黑体" w:hAnsi="宋体" w:eastAsia="黑体" w:cs="黑体"/>
                <w:kern w:val="0"/>
                <w:sz w:val="20"/>
                <w:szCs w:val="20"/>
                <w:lang w:bidi="ar"/>
              </w:rPr>
              <w:t>人员要求</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黑体" w:hAnsi="宋体" w:eastAsia="黑体" w:cs="黑体"/>
                <w:kern w:val="0"/>
                <w:sz w:val="20"/>
              </w:rPr>
            </w:pPr>
            <w:r>
              <w:rPr>
                <w:rFonts w:hint="eastAsia" w:ascii="黑体" w:hAnsi="宋体" w:eastAsia="黑体" w:cs="黑体"/>
                <w:kern w:val="0"/>
                <w:sz w:val="20"/>
                <w:szCs w:val="20"/>
                <w:lang w:bidi="ar"/>
              </w:rPr>
              <w:t>★</w:t>
            </w:r>
          </w:p>
        </w:tc>
        <w:tc>
          <w:tcPr>
            <w:tcW w:w="6992" w:type="dxa"/>
            <w:gridSpan w:val="2"/>
            <w:tcBorders>
              <w:top w:val="single" w:color="auto" w:sz="4" w:space="0"/>
              <w:left w:val="single" w:color="auto" w:sz="4" w:space="0"/>
              <w:bottom w:val="single" w:color="auto" w:sz="4" w:space="0"/>
              <w:right w:val="single" w:color="auto" w:sz="4" w:space="0"/>
            </w:tcBorders>
            <w:vAlign w:val="center"/>
          </w:tcPr>
          <w:p>
            <w:pPr>
              <w:pStyle w:val="3"/>
              <w:spacing w:line="276" w:lineRule="auto"/>
              <w:rPr>
                <w:rFonts w:ascii="宋体" w:hAnsi="宋体" w:eastAsia="宋体"/>
                <w:sz w:val="20"/>
                <w:szCs w:val="20"/>
              </w:rPr>
            </w:pPr>
            <w:r>
              <w:rPr>
                <w:rFonts w:hint="eastAsia" w:ascii="宋体" w:hAnsi="宋体" w:eastAsia="宋体"/>
                <w:sz w:val="20"/>
                <w:szCs w:val="20"/>
              </w:rPr>
              <w:t xml:space="preserve">放射工作人员职业健康检查只能由具有医疗执业资格的医师和技术人员担当。职业健康检查机构应保证配有具备下列基本条件的主检医师： </w:t>
            </w:r>
          </w:p>
          <w:p>
            <w:pPr>
              <w:pStyle w:val="3"/>
              <w:spacing w:line="276" w:lineRule="auto"/>
              <w:rPr>
                <w:rFonts w:ascii="宋体" w:hAnsi="宋体" w:eastAsia="宋体"/>
                <w:sz w:val="20"/>
                <w:szCs w:val="20"/>
              </w:rPr>
            </w:pPr>
            <w:r>
              <w:rPr>
                <w:rFonts w:hint="eastAsia" w:ascii="宋体" w:hAnsi="宋体" w:eastAsia="宋体"/>
                <w:sz w:val="20"/>
                <w:szCs w:val="20"/>
              </w:rPr>
              <w:t xml:space="preserve">a) 具备中级及以上专业技术资格； </w:t>
            </w:r>
          </w:p>
          <w:p>
            <w:pPr>
              <w:pStyle w:val="3"/>
              <w:spacing w:line="276" w:lineRule="auto"/>
              <w:rPr>
                <w:rFonts w:ascii="宋体" w:hAnsi="宋体" w:eastAsia="宋体"/>
                <w:sz w:val="20"/>
                <w:szCs w:val="20"/>
              </w:rPr>
            </w:pPr>
            <w:r>
              <w:rPr>
                <w:rFonts w:hint="eastAsia" w:ascii="宋体" w:hAnsi="宋体" w:eastAsia="宋体"/>
                <w:sz w:val="20"/>
                <w:szCs w:val="20"/>
              </w:rPr>
              <w:t xml:space="preserve">b) 熟悉和掌握放射医学、放射生物学、辐射剂量学和辐射防护专业知识； </w:t>
            </w:r>
          </w:p>
          <w:p>
            <w:pPr>
              <w:pStyle w:val="3"/>
              <w:spacing w:line="276" w:lineRule="auto"/>
              <w:rPr>
                <w:rFonts w:ascii="宋体" w:hAnsi="宋体" w:eastAsia="宋体"/>
                <w:sz w:val="20"/>
                <w:szCs w:val="20"/>
              </w:rPr>
            </w:pPr>
            <w:r>
              <w:rPr>
                <w:rFonts w:hint="eastAsia" w:ascii="宋体" w:hAnsi="宋体" w:eastAsia="宋体"/>
                <w:sz w:val="20"/>
                <w:szCs w:val="20"/>
              </w:rPr>
              <w:t xml:space="preserve">c) 熟悉和掌握职业病防治法规、职业性放射性疾病诊断标准和处理原则； </w:t>
            </w:r>
          </w:p>
          <w:p>
            <w:pPr>
              <w:pStyle w:val="3"/>
              <w:spacing w:line="276" w:lineRule="auto"/>
              <w:rPr>
                <w:rFonts w:ascii="宋体" w:hAnsi="宋体" w:eastAsia="宋体"/>
                <w:sz w:val="20"/>
                <w:szCs w:val="20"/>
              </w:rPr>
            </w:pPr>
            <w:r>
              <w:rPr>
                <w:rFonts w:hint="eastAsia" w:ascii="宋体" w:hAnsi="宋体" w:eastAsia="宋体"/>
                <w:sz w:val="20"/>
                <w:szCs w:val="20"/>
              </w:rPr>
              <w:t xml:space="preserve">d) 熟悉放射工作场所的性质、操作方式、可能存在的职业健康危险和预防控制措施； </w:t>
            </w:r>
          </w:p>
          <w:p>
            <w:pPr>
              <w:pStyle w:val="3"/>
              <w:spacing w:line="276" w:lineRule="auto"/>
              <w:rPr>
                <w:rFonts w:hint="eastAsia" w:ascii="宋体" w:hAnsi="宋体" w:eastAsia="宋体"/>
                <w:sz w:val="20"/>
                <w:szCs w:val="20"/>
              </w:rPr>
            </w:pPr>
            <w:r>
              <w:rPr>
                <w:rFonts w:hint="eastAsia" w:ascii="宋体" w:hAnsi="宋体" w:eastAsia="宋体"/>
                <w:sz w:val="20"/>
                <w:szCs w:val="20"/>
              </w:rPr>
              <w:t xml:space="preserve">e) 有评价放射工作人员的健康状况与其所从事的特定放射工作的关系、判断其是否适合从事该工作岗位的能力。 </w:t>
            </w:r>
          </w:p>
          <w:p>
            <w:pPr>
              <w:spacing w:line="276" w:lineRule="auto"/>
              <w:rPr>
                <w:rFonts w:hint="eastAsia" w:ascii="黑体" w:hAnsi="黑体" w:eastAsia="黑体" w:cs="黑体"/>
                <w:sz w:val="20"/>
              </w:rPr>
            </w:pPr>
          </w:p>
        </w:tc>
        <w:tc>
          <w:tcPr>
            <w:tcW w:w="7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kern w:val="0"/>
                <w:sz w:val="20"/>
              </w:rPr>
            </w:pPr>
            <w:r>
              <w:rPr>
                <w:rFonts w:hint="eastAsia" w:ascii="宋体" w:hAnsi="宋体" w:eastAsia="宋体" w:cs="宋体"/>
                <w:sz w:val="21"/>
                <w:szCs w:val="21"/>
              </w:rPr>
              <w:t>企业承诺</w:t>
            </w:r>
          </w:p>
        </w:tc>
      </w:tr>
      <w:tr>
        <w:tblPrEx>
          <w:tblLayout w:type="fixed"/>
          <w:tblCellMar>
            <w:top w:w="0" w:type="dxa"/>
            <w:left w:w="108" w:type="dxa"/>
            <w:bottom w:w="0" w:type="dxa"/>
            <w:right w:w="108" w:type="dxa"/>
          </w:tblCellMar>
        </w:tblPrEx>
        <w:trPr>
          <w:trHeight w:val="778" w:hRule="atLeast"/>
        </w:trPr>
        <w:tc>
          <w:tcPr>
            <w:tcW w:w="4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黑体" w:eastAsia="黑体" w:cs="黑体"/>
                <w:kern w:val="0"/>
                <w:sz w:val="20"/>
              </w:rPr>
            </w:pPr>
            <w:r>
              <w:rPr>
                <w:rFonts w:hint="eastAsia" w:ascii="宋体" w:hAnsi="宋体" w:eastAsia="宋体" w:cs="宋体"/>
                <w:sz w:val="21"/>
                <w:szCs w:val="21"/>
                <w:lang w:val="en-US" w:eastAsia="zh-CN"/>
              </w:rPr>
              <w:t>9</w:t>
            </w:r>
          </w:p>
        </w:tc>
        <w:tc>
          <w:tcPr>
            <w:tcW w:w="127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黑体" w:hAnsi="黑体" w:eastAsia="黑体" w:cs="黑体"/>
                <w:kern w:val="0"/>
                <w:sz w:val="20"/>
              </w:rPr>
            </w:pPr>
            <w:r>
              <w:rPr>
                <w:rFonts w:hint="eastAsia" w:ascii="黑体" w:hAnsi="宋体" w:eastAsia="黑体" w:cs="黑体"/>
                <w:kern w:val="0"/>
                <w:sz w:val="20"/>
                <w:szCs w:val="20"/>
                <w:lang w:bidi="ar"/>
              </w:rPr>
              <w:t>信誉资格</w:t>
            </w:r>
          </w:p>
        </w:tc>
        <w:tc>
          <w:tcPr>
            <w:tcW w:w="54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textAlignment w:val="center"/>
              <w:rPr>
                <w:rFonts w:hint="eastAsia" w:ascii="黑体" w:hAnsi="宋体" w:eastAsia="黑体" w:cs="黑体"/>
                <w:kern w:val="0"/>
                <w:sz w:val="20"/>
              </w:rPr>
            </w:pPr>
            <w:r>
              <w:rPr>
                <w:rFonts w:hint="eastAsia" w:ascii="黑体" w:hAnsi="宋体" w:eastAsia="黑体" w:cs="黑体"/>
                <w:kern w:val="0"/>
                <w:sz w:val="20"/>
                <w:szCs w:val="20"/>
                <w:lang w:bidi="ar"/>
              </w:rPr>
              <w:t>★</w:t>
            </w:r>
          </w:p>
        </w:tc>
        <w:tc>
          <w:tcPr>
            <w:tcW w:w="6992" w:type="dxa"/>
            <w:gridSpan w:val="2"/>
            <w:tcBorders>
              <w:top w:val="single" w:color="auto" w:sz="4" w:space="0"/>
              <w:left w:val="single" w:color="auto" w:sz="4" w:space="0"/>
              <w:bottom w:val="single" w:color="auto" w:sz="4" w:space="0"/>
              <w:right w:val="single" w:color="auto" w:sz="4" w:space="0"/>
            </w:tcBorders>
            <w:vAlign w:val="center"/>
          </w:tcPr>
          <w:p>
            <w:pPr>
              <w:pStyle w:val="3"/>
              <w:spacing w:line="276" w:lineRule="auto"/>
              <w:rPr>
                <w:rFonts w:ascii="宋体" w:hAnsi="宋体" w:eastAsia="宋体"/>
                <w:sz w:val="20"/>
                <w:szCs w:val="20"/>
              </w:rPr>
            </w:pPr>
            <w:r>
              <w:rPr>
                <w:rFonts w:hint="eastAsia" w:ascii="宋体" w:hAnsi="宋体" w:eastAsia="宋体"/>
                <w:sz w:val="20"/>
                <w:szCs w:val="20"/>
              </w:rPr>
              <w:t xml:space="preserve">2.放射工作人员职业健康检查机构应当具备下列基本条件： </w:t>
            </w:r>
          </w:p>
          <w:p>
            <w:pPr>
              <w:pStyle w:val="3"/>
              <w:spacing w:line="276" w:lineRule="auto"/>
              <w:rPr>
                <w:rFonts w:ascii="宋体" w:hAnsi="宋体" w:eastAsia="宋体"/>
                <w:sz w:val="20"/>
                <w:szCs w:val="20"/>
              </w:rPr>
            </w:pPr>
            <w:r>
              <w:rPr>
                <w:rFonts w:hint="eastAsia" w:ascii="宋体" w:hAnsi="宋体" w:eastAsia="宋体"/>
                <w:sz w:val="20"/>
                <w:szCs w:val="20"/>
              </w:rPr>
              <w:t xml:space="preserve">a) 具有与开展职业健康检查和评价相适应的医疗卫生技术人员； </w:t>
            </w:r>
          </w:p>
          <w:p>
            <w:pPr>
              <w:pStyle w:val="3"/>
              <w:spacing w:line="276" w:lineRule="auto"/>
              <w:rPr>
                <w:rFonts w:ascii="宋体" w:hAnsi="宋体" w:eastAsia="宋体"/>
                <w:sz w:val="20"/>
                <w:szCs w:val="20"/>
              </w:rPr>
            </w:pPr>
            <w:r>
              <w:rPr>
                <w:rFonts w:hint="eastAsia" w:ascii="宋体" w:hAnsi="宋体" w:eastAsia="宋体"/>
                <w:sz w:val="20"/>
                <w:szCs w:val="20"/>
              </w:rPr>
              <w:t xml:space="preserve">b) 具有与开展职业健康检查相适应的仪器、设备和技术； </w:t>
            </w:r>
          </w:p>
          <w:p>
            <w:pPr>
              <w:pStyle w:val="3"/>
              <w:spacing w:line="276" w:lineRule="auto"/>
              <w:rPr>
                <w:rFonts w:ascii="宋体" w:hAnsi="宋体" w:eastAsia="宋体"/>
                <w:sz w:val="20"/>
                <w:szCs w:val="20"/>
              </w:rPr>
            </w:pPr>
            <w:r>
              <w:rPr>
                <w:rFonts w:hint="eastAsia" w:ascii="宋体" w:hAnsi="宋体" w:eastAsia="宋体"/>
                <w:sz w:val="20"/>
                <w:szCs w:val="20"/>
              </w:rPr>
              <w:t xml:space="preserve">c) 具有辐射细胞遗传学检验设备和用生物学方法估算受照人员剂量的能力； </w:t>
            </w:r>
          </w:p>
          <w:p>
            <w:pPr>
              <w:pStyle w:val="3"/>
              <w:spacing w:line="276" w:lineRule="auto"/>
              <w:rPr>
                <w:rFonts w:ascii="宋体" w:hAnsi="宋体" w:eastAsia="宋体"/>
                <w:sz w:val="20"/>
                <w:szCs w:val="20"/>
              </w:rPr>
            </w:pPr>
            <w:r>
              <w:rPr>
                <w:rFonts w:hint="eastAsia" w:ascii="宋体" w:hAnsi="宋体" w:eastAsia="宋体"/>
                <w:sz w:val="20"/>
                <w:szCs w:val="20"/>
              </w:rPr>
              <w:t xml:space="preserve">d) 具有健全的质量管理体系和制度。 </w:t>
            </w:r>
          </w:p>
          <w:p>
            <w:pPr>
              <w:spacing w:line="276" w:lineRule="auto"/>
              <w:ind w:left="-174" w:leftChars="-83"/>
              <w:jc w:val="left"/>
              <w:textAlignment w:val="center"/>
              <w:rPr>
                <w:rFonts w:hint="eastAsia" w:ascii="黑体" w:hAnsi="黑体" w:eastAsia="黑体" w:cs="黑体"/>
                <w:sz w:val="20"/>
              </w:rPr>
            </w:pPr>
          </w:p>
        </w:tc>
        <w:tc>
          <w:tcPr>
            <w:tcW w:w="74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kern w:val="0"/>
                <w:sz w:val="20"/>
              </w:rPr>
            </w:pPr>
            <w:r>
              <w:rPr>
                <w:rFonts w:hint="eastAsia" w:ascii="宋体" w:hAnsi="宋体" w:eastAsia="宋体" w:cs="宋体"/>
                <w:sz w:val="21"/>
                <w:szCs w:val="21"/>
              </w:rPr>
              <w:t>企业承诺</w:t>
            </w:r>
          </w:p>
        </w:tc>
      </w:tr>
      <w:tr>
        <w:tblPrEx>
          <w:tblLayout w:type="fixed"/>
          <w:tblCellMar>
            <w:top w:w="0" w:type="dxa"/>
            <w:left w:w="108" w:type="dxa"/>
            <w:bottom w:w="0" w:type="dxa"/>
            <w:right w:w="108" w:type="dxa"/>
          </w:tblCellMar>
        </w:tblPrEx>
        <w:trPr>
          <w:trHeight w:val="617" w:hRule="atLeast"/>
        </w:trPr>
        <w:tc>
          <w:tcPr>
            <w:tcW w:w="9990" w:type="dxa"/>
            <w:gridSpan w:val="6"/>
            <w:tcBorders>
              <w:top w:val="sing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1"/>
                <w:szCs w:val="21"/>
                <w:lang w:eastAsia="zh-CN" w:bidi="ar"/>
              </w:rPr>
            </w:pPr>
            <w:r>
              <w:rPr>
                <w:rFonts w:hint="eastAsia" w:ascii="宋体" w:hAnsi="宋体" w:eastAsia="宋体" w:cs="宋体"/>
                <w:b/>
                <w:bCs/>
                <w:kern w:val="0"/>
                <w:sz w:val="21"/>
                <w:szCs w:val="21"/>
                <w:lang w:bidi="ar"/>
              </w:rPr>
              <w:t>经济要求</w:t>
            </w:r>
            <w:r>
              <w:rPr>
                <w:rFonts w:hint="eastAsia" w:ascii="宋体" w:hAnsi="宋体" w:eastAsia="宋体" w:cs="宋体"/>
                <w:b/>
                <w:bCs/>
                <w:kern w:val="0"/>
                <w:sz w:val="21"/>
                <w:szCs w:val="21"/>
                <w:lang w:eastAsia="zh-CN" w:bidi="ar"/>
              </w:rPr>
              <w:t>（不接受负偏离）</w:t>
            </w:r>
          </w:p>
        </w:tc>
      </w:tr>
      <w:tr>
        <w:tblPrEx>
          <w:tblLayout w:type="fixed"/>
          <w:tblCellMar>
            <w:top w:w="57" w:type="dxa"/>
            <w:left w:w="108" w:type="dxa"/>
            <w:bottom w:w="57" w:type="dxa"/>
            <w:right w:w="108" w:type="dxa"/>
          </w:tblCellMar>
        </w:tblPrEx>
        <w:trPr>
          <w:trHeight w:val="768" w:hRule="atLeast"/>
        </w:trPr>
        <w:tc>
          <w:tcPr>
            <w:tcW w:w="4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272"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textAlignment w:val="center"/>
              <w:rPr>
                <w:rFonts w:hint="eastAsia" w:ascii="宋体" w:hAnsi="宋体" w:eastAsia="宋体" w:cs="宋体"/>
                <w:sz w:val="21"/>
                <w:szCs w:val="21"/>
                <w:lang w:val="en-US" w:eastAsia="zh-CN"/>
              </w:rPr>
            </w:pPr>
            <w:r>
              <w:rPr>
                <w:rFonts w:hint="eastAsia" w:ascii="黑体" w:hAnsi="黑体" w:eastAsia="黑体" w:cs="黑体"/>
                <w:kern w:val="0"/>
                <w:sz w:val="20"/>
                <w:szCs w:val="20"/>
                <w:lang w:bidi="ar"/>
              </w:rPr>
              <w:t>服务期限</w:t>
            </w:r>
          </w:p>
        </w:tc>
        <w:tc>
          <w:tcPr>
            <w:tcW w:w="54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textAlignment w:val="center"/>
              <w:rPr>
                <w:rFonts w:hint="eastAsia" w:ascii="宋体" w:hAnsi="宋体" w:eastAsia="宋体" w:cs="宋体"/>
                <w:sz w:val="21"/>
                <w:szCs w:val="21"/>
                <w:lang w:val="en-US" w:eastAsia="zh-CN"/>
              </w:rPr>
            </w:pPr>
            <w:r>
              <w:rPr>
                <w:rFonts w:hint="eastAsia" w:ascii="黑体" w:hAnsi="宋体" w:eastAsia="黑体" w:cs="黑体"/>
                <w:kern w:val="0"/>
                <w:sz w:val="20"/>
                <w:szCs w:val="20"/>
                <w:lang w:bidi="ar"/>
              </w:rPr>
              <w:t>★</w:t>
            </w:r>
          </w:p>
        </w:tc>
        <w:tc>
          <w:tcPr>
            <w:tcW w:w="6992" w:type="dxa"/>
            <w:gridSpan w:val="2"/>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sz w:val="20"/>
                <w:szCs w:val="20"/>
              </w:rPr>
            </w:pPr>
            <w:r>
              <w:rPr>
                <w:rFonts w:hint="eastAsia" w:ascii="宋体" w:hAnsi="宋体"/>
                <w:sz w:val="20"/>
                <w:szCs w:val="20"/>
              </w:rPr>
              <w:t>1.服务期限：自合同签订之日起2年。</w:t>
            </w:r>
          </w:p>
          <w:p>
            <w:pPr>
              <w:spacing w:line="276" w:lineRule="auto"/>
              <w:rPr>
                <w:rFonts w:hint="eastAsia" w:ascii="宋体" w:hAnsi="宋体"/>
                <w:sz w:val="20"/>
                <w:szCs w:val="20"/>
              </w:rPr>
            </w:pPr>
            <w:r>
              <w:rPr>
                <w:rFonts w:hint="eastAsia" w:ascii="宋体" w:hAnsi="宋体"/>
                <w:sz w:val="20"/>
                <w:szCs w:val="20"/>
              </w:rPr>
              <w:t>2.开展日期：接到需求单位通知后10天内完成集中体检工作。</w:t>
            </w:r>
          </w:p>
          <w:p>
            <w:pPr>
              <w:spacing w:line="276" w:lineRule="auto"/>
              <w:rPr>
                <w:rFonts w:hint="eastAsia" w:ascii="宋体" w:hAnsi="宋体" w:eastAsia="宋体" w:cs="宋体"/>
                <w:sz w:val="21"/>
                <w:szCs w:val="21"/>
                <w:lang w:val="en-US" w:eastAsia="zh-CN"/>
              </w:rPr>
            </w:pPr>
            <w:r>
              <w:rPr>
                <w:rFonts w:hint="eastAsia" w:ascii="宋体" w:hAnsi="宋体"/>
                <w:sz w:val="20"/>
                <w:szCs w:val="20"/>
              </w:rPr>
              <w:t>3</w:t>
            </w:r>
            <w:r>
              <w:rPr>
                <w:rFonts w:ascii="宋体" w:hAnsi="宋体"/>
                <w:sz w:val="20"/>
                <w:szCs w:val="20"/>
              </w:rPr>
              <w:t>.</w:t>
            </w:r>
            <w:r>
              <w:rPr>
                <w:rFonts w:hint="eastAsia" w:ascii="宋体" w:hAnsi="宋体"/>
                <w:sz w:val="20"/>
                <w:szCs w:val="20"/>
              </w:rPr>
              <w:t>提交报告期限：应当自体检工作结束之日起30日内，将职业健康检查报告送达甲方。</w:t>
            </w:r>
          </w:p>
        </w:tc>
        <w:tc>
          <w:tcPr>
            <w:tcW w:w="7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企业承诺</w:t>
            </w:r>
          </w:p>
        </w:tc>
      </w:tr>
      <w:tr>
        <w:tblPrEx>
          <w:tblLayout w:type="fixed"/>
          <w:tblCellMar>
            <w:top w:w="57" w:type="dxa"/>
            <w:left w:w="108" w:type="dxa"/>
            <w:bottom w:w="57" w:type="dxa"/>
            <w:right w:w="108" w:type="dxa"/>
          </w:tblCellMar>
        </w:tblPrEx>
        <w:trPr>
          <w:trHeight w:val="817" w:hRule="atLeast"/>
        </w:trPr>
        <w:tc>
          <w:tcPr>
            <w:tcW w:w="4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272"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textAlignment w:val="center"/>
              <w:rPr>
                <w:rFonts w:hint="eastAsia" w:ascii="宋体" w:hAnsi="宋体" w:eastAsia="宋体" w:cs="宋体"/>
                <w:sz w:val="21"/>
                <w:szCs w:val="21"/>
                <w:lang w:val="en-US" w:eastAsia="zh-CN"/>
              </w:rPr>
            </w:pPr>
            <w:r>
              <w:rPr>
                <w:rFonts w:hint="eastAsia" w:ascii="黑体" w:hAnsi="黑体" w:eastAsia="黑体" w:cs="黑体"/>
                <w:kern w:val="0"/>
                <w:sz w:val="20"/>
                <w:szCs w:val="20"/>
                <w:lang w:bidi="ar"/>
              </w:rPr>
              <w:t>付款及结算方式</w:t>
            </w:r>
          </w:p>
        </w:tc>
        <w:tc>
          <w:tcPr>
            <w:tcW w:w="54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textAlignment w:val="center"/>
              <w:rPr>
                <w:rFonts w:hint="eastAsia" w:ascii="宋体" w:hAnsi="宋体" w:eastAsia="宋体" w:cs="宋体"/>
                <w:sz w:val="21"/>
                <w:szCs w:val="21"/>
                <w:lang w:val="en-US" w:eastAsia="zh-CN"/>
              </w:rPr>
            </w:pPr>
            <w:r>
              <w:rPr>
                <w:rFonts w:hint="eastAsia" w:ascii="黑体" w:hAnsi="宋体" w:eastAsia="黑体" w:cs="黑体"/>
                <w:kern w:val="0"/>
                <w:sz w:val="20"/>
                <w:szCs w:val="20"/>
                <w:lang w:bidi="ar"/>
              </w:rPr>
              <w:t>★</w:t>
            </w:r>
          </w:p>
        </w:tc>
        <w:tc>
          <w:tcPr>
            <w:tcW w:w="6992" w:type="dxa"/>
            <w:gridSpan w:val="2"/>
            <w:tcBorders>
              <w:top w:val="single" w:color="000000" w:sz="4" w:space="0"/>
              <w:left w:val="single" w:color="000000" w:sz="4" w:space="0"/>
              <w:bottom w:val="single" w:color="000000" w:sz="4" w:space="0"/>
              <w:right w:val="single" w:color="000000" w:sz="4" w:space="0"/>
            </w:tcBorders>
            <w:vAlign w:val="center"/>
          </w:tcPr>
          <w:p>
            <w:pPr>
              <w:spacing w:line="276" w:lineRule="auto"/>
              <w:rPr>
                <w:rFonts w:hint="eastAsia" w:ascii="宋体" w:hAnsi="宋体" w:eastAsia="宋体" w:cs="宋体"/>
                <w:sz w:val="21"/>
                <w:szCs w:val="21"/>
                <w:lang w:val="en-US" w:eastAsia="zh-CN"/>
              </w:rPr>
            </w:pPr>
            <w:r>
              <w:rPr>
                <w:rFonts w:hint="eastAsia" w:ascii="宋体" w:hAnsi="宋体"/>
                <w:sz w:val="20"/>
                <w:szCs w:val="20"/>
              </w:rPr>
              <w:t>在年度体检工作结束并出具体检报告后,甲乙双方核定有效体检人员数量,按有效体检人数及体检项目支付100%体检费用。服务期限内总体费用不超过42万元。</w:t>
            </w:r>
          </w:p>
        </w:tc>
        <w:tc>
          <w:tcPr>
            <w:tcW w:w="7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rPr>
              <w:t>企业承诺</w:t>
            </w:r>
          </w:p>
        </w:tc>
      </w:tr>
      <w:tr>
        <w:tblPrEx>
          <w:tblLayout w:type="fixed"/>
          <w:tblCellMar>
            <w:top w:w="57" w:type="dxa"/>
            <w:left w:w="108" w:type="dxa"/>
            <w:bottom w:w="57" w:type="dxa"/>
            <w:right w:w="108" w:type="dxa"/>
          </w:tblCellMar>
        </w:tblPrEx>
        <w:trPr>
          <w:trHeight w:val="984" w:hRule="atLeast"/>
        </w:trPr>
        <w:tc>
          <w:tcPr>
            <w:tcW w:w="4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272"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textAlignment w:val="center"/>
              <w:rPr>
                <w:rFonts w:hint="eastAsia" w:ascii="宋体" w:hAnsi="宋体" w:eastAsia="宋体" w:cs="宋体"/>
                <w:sz w:val="21"/>
                <w:szCs w:val="21"/>
                <w:lang w:val="en-US" w:eastAsia="zh-CN"/>
              </w:rPr>
            </w:pPr>
            <w:r>
              <w:rPr>
                <w:rFonts w:hint="eastAsia" w:ascii="黑体" w:hAnsi="黑体" w:eastAsia="黑体" w:cs="黑体"/>
                <w:kern w:val="0"/>
                <w:sz w:val="20"/>
                <w:szCs w:val="20"/>
                <w:lang w:bidi="ar"/>
              </w:rPr>
              <w:t>报价要求</w:t>
            </w:r>
          </w:p>
        </w:tc>
        <w:tc>
          <w:tcPr>
            <w:tcW w:w="54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textAlignment w:val="center"/>
              <w:rPr>
                <w:rFonts w:hint="eastAsia" w:ascii="宋体" w:hAnsi="宋体" w:eastAsia="宋体" w:cs="宋体"/>
                <w:sz w:val="21"/>
                <w:szCs w:val="21"/>
                <w:lang w:val="en-US" w:eastAsia="zh-CN"/>
              </w:rPr>
            </w:pPr>
            <w:r>
              <w:rPr>
                <w:rFonts w:hint="eastAsia" w:ascii="黑体" w:hAnsi="宋体" w:eastAsia="黑体" w:cs="黑体"/>
                <w:kern w:val="0"/>
                <w:sz w:val="20"/>
                <w:szCs w:val="20"/>
                <w:lang w:bidi="ar"/>
              </w:rPr>
              <w:t>★</w:t>
            </w:r>
          </w:p>
        </w:tc>
        <w:tc>
          <w:tcPr>
            <w:tcW w:w="6992" w:type="dxa"/>
            <w:gridSpan w:val="2"/>
            <w:tcBorders>
              <w:top w:val="single" w:color="000000" w:sz="4" w:space="0"/>
              <w:left w:val="single" w:color="000000" w:sz="4" w:space="0"/>
              <w:bottom w:val="single" w:color="000000" w:sz="4" w:space="0"/>
              <w:right w:val="single" w:color="000000" w:sz="4" w:space="0"/>
            </w:tcBorders>
            <w:vAlign w:val="center"/>
          </w:tcPr>
          <w:p>
            <w:pPr>
              <w:spacing w:line="276" w:lineRule="auto"/>
              <w:rPr>
                <w:rFonts w:hint="eastAsia" w:ascii="宋体" w:hAnsi="宋体"/>
                <w:sz w:val="20"/>
                <w:szCs w:val="20"/>
              </w:rPr>
            </w:pPr>
            <w:r>
              <w:rPr>
                <w:rFonts w:hint="eastAsia" w:ascii="宋体" w:hAnsi="宋体"/>
                <w:sz w:val="20"/>
                <w:szCs w:val="20"/>
              </w:rPr>
              <w:t>1.供应商报价时应按体检项目明细进行单项报价及总价，并提供分项报价表。</w:t>
            </w:r>
          </w:p>
          <w:p>
            <w:pPr>
              <w:spacing w:line="276" w:lineRule="auto"/>
              <w:rPr>
                <w:rFonts w:hint="eastAsia" w:ascii="宋体" w:hAnsi="宋体" w:eastAsia="宋体" w:cs="宋体"/>
                <w:sz w:val="21"/>
                <w:szCs w:val="21"/>
                <w:lang w:val="en-US" w:eastAsia="zh-CN"/>
              </w:rPr>
            </w:pPr>
            <w:r>
              <w:rPr>
                <w:rFonts w:hint="eastAsia" w:ascii="宋体" w:hAnsi="宋体"/>
                <w:sz w:val="20"/>
                <w:szCs w:val="20"/>
              </w:rPr>
              <w:t>2.检查结果出现单项或多项异常，需要复查确定的，复查的费用供应商综合考虑包含在报价中，结算付款时不再单独计取。</w:t>
            </w:r>
          </w:p>
        </w:tc>
        <w:tc>
          <w:tcPr>
            <w:tcW w:w="7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eastAsia="宋体" w:cs="宋体"/>
                <w:sz w:val="21"/>
                <w:szCs w:val="21"/>
              </w:rPr>
            </w:pPr>
            <w:r>
              <w:rPr>
                <w:rFonts w:hint="eastAsia" w:ascii="宋体" w:hAnsi="宋体" w:eastAsia="宋体" w:cs="宋体"/>
                <w:sz w:val="21"/>
                <w:szCs w:val="21"/>
              </w:rPr>
              <w:t>企业承诺</w:t>
            </w:r>
          </w:p>
        </w:tc>
      </w:tr>
      <w:tr>
        <w:tblPrEx>
          <w:tblLayout w:type="fixed"/>
          <w:tblCellMar>
            <w:top w:w="57" w:type="dxa"/>
            <w:left w:w="108" w:type="dxa"/>
            <w:bottom w:w="57" w:type="dxa"/>
            <w:right w:w="108" w:type="dxa"/>
          </w:tblCellMar>
        </w:tblPrEx>
        <w:trPr>
          <w:trHeight w:val="768" w:hRule="atLeast"/>
        </w:trPr>
        <w:tc>
          <w:tcPr>
            <w:tcW w:w="4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1272"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textAlignment w:val="center"/>
              <w:rPr>
                <w:rFonts w:hint="eastAsia" w:ascii="宋体" w:hAnsi="宋体" w:eastAsia="宋体" w:cs="宋体"/>
                <w:sz w:val="21"/>
                <w:szCs w:val="21"/>
                <w:lang w:val="en-US" w:eastAsia="zh-CN"/>
              </w:rPr>
            </w:pPr>
            <w:r>
              <w:rPr>
                <w:rFonts w:hint="eastAsia" w:ascii="黑体" w:hAnsi="黑体" w:eastAsia="黑体" w:cs="黑体"/>
                <w:kern w:val="0"/>
                <w:sz w:val="20"/>
                <w:szCs w:val="20"/>
                <w:lang w:bidi="ar"/>
              </w:rPr>
              <w:t>履约保证金</w:t>
            </w:r>
          </w:p>
        </w:tc>
        <w:tc>
          <w:tcPr>
            <w:tcW w:w="54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textAlignment w:val="center"/>
              <w:rPr>
                <w:rFonts w:hint="eastAsia" w:ascii="宋体" w:hAnsi="宋体" w:eastAsia="宋体" w:cs="宋体"/>
                <w:sz w:val="21"/>
                <w:szCs w:val="21"/>
                <w:lang w:val="en-US" w:eastAsia="zh-CN"/>
              </w:rPr>
            </w:pPr>
            <w:r>
              <w:rPr>
                <w:rFonts w:hint="eastAsia" w:ascii="黑体" w:hAnsi="宋体" w:eastAsia="黑体" w:cs="黑体"/>
                <w:kern w:val="0"/>
                <w:sz w:val="20"/>
                <w:szCs w:val="20"/>
                <w:lang w:bidi="ar"/>
              </w:rPr>
              <w:t>★</w:t>
            </w:r>
          </w:p>
        </w:tc>
        <w:tc>
          <w:tcPr>
            <w:tcW w:w="6992" w:type="dxa"/>
            <w:gridSpan w:val="2"/>
            <w:tcBorders>
              <w:top w:val="single" w:color="000000" w:sz="4" w:space="0"/>
              <w:left w:val="single" w:color="000000" w:sz="4" w:space="0"/>
              <w:bottom w:val="single" w:color="000000" w:sz="4" w:space="0"/>
              <w:right w:val="single" w:color="000000" w:sz="4" w:space="0"/>
            </w:tcBorders>
            <w:vAlign w:val="center"/>
          </w:tcPr>
          <w:p>
            <w:pPr>
              <w:spacing w:line="276" w:lineRule="auto"/>
              <w:rPr>
                <w:rFonts w:hint="eastAsia" w:ascii="宋体" w:hAnsi="宋体" w:eastAsia="宋体" w:cs="宋体"/>
                <w:sz w:val="21"/>
                <w:szCs w:val="21"/>
                <w:lang w:val="en-US" w:eastAsia="zh-CN"/>
              </w:rPr>
            </w:pPr>
            <w:r>
              <w:rPr>
                <w:rFonts w:hint="eastAsia" w:ascii="宋体" w:hAnsi="宋体"/>
                <w:sz w:val="20"/>
                <w:szCs w:val="20"/>
              </w:rPr>
              <w:t>履约保证金为2万元，由中标单位在签订合同时向需求单位足额缴纳。</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rPr>
              <w:t>企业承诺</w:t>
            </w:r>
          </w:p>
        </w:tc>
      </w:tr>
      <w:tr>
        <w:tblPrEx>
          <w:tblLayout w:type="fixed"/>
          <w:tblCellMar>
            <w:top w:w="57" w:type="dxa"/>
            <w:left w:w="108" w:type="dxa"/>
            <w:bottom w:w="57" w:type="dxa"/>
            <w:right w:w="108" w:type="dxa"/>
          </w:tblCellMar>
        </w:tblPrEx>
        <w:trPr>
          <w:trHeight w:val="784" w:hRule="atLeast"/>
        </w:trPr>
        <w:tc>
          <w:tcPr>
            <w:tcW w:w="4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1272"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textAlignment w:val="center"/>
              <w:rPr>
                <w:rFonts w:hint="eastAsia" w:ascii="宋体" w:hAnsi="宋体" w:eastAsia="宋体" w:cs="宋体"/>
                <w:sz w:val="21"/>
                <w:szCs w:val="21"/>
                <w:lang w:val="en-US" w:eastAsia="zh-CN"/>
              </w:rPr>
            </w:pPr>
            <w:r>
              <w:rPr>
                <w:rFonts w:hint="eastAsia" w:ascii="黑体" w:hAnsi="黑体" w:eastAsia="黑体" w:cs="黑体"/>
                <w:kern w:val="0"/>
                <w:sz w:val="20"/>
                <w:szCs w:val="20"/>
                <w:lang w:bidi="ar"/>
              </w:rPr>
              <w:t>保密要求</w:t>
            </w:r>
          </w:p>
        </w:tc>
        <w:tc>
          <w:tcPr>
            <w:tcW w:w="54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textAlignment w:val="center"/>
              <w:rPr>
                <w:rFonts w:hint="eastAsia" w:ascii="宋体" w:hAnsi="宋体" w:eastAsia="宋体" w:cs="宋体"/>
                <w:sz w:val="21"/>
                <w:szCs w:val="21"/>
                <w:lang w:val="en-US" w:eastAsia="zh-CN"/>
              </w:rPr>
            </w:pPr>
            <w:r>
              <w:rPr>
                <w:rFonts w:hint="eastAsia" w:ascii="黑体" w:hAnsi="宋体" w:eastAsia="黑体" w:cs="黑体"/>
                <w:kern w:val="0"/>
                <w:sz w:val="20"/>
                <w:szCs w:val="20"/>
                <w:lang w:bidi="ar"/>
              </w:rPr>
              <w:t>★</w:t>
            </w:r>
          </w:p>
        </w:tc>
        <w:tc>
          <w:tcPr>
            <w:tcW w:w="6992" w:type="dxa"/>
            <w:gridSpan w:val="2"/>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sz w:val="20"/>
                <w:szCs w:val="20"/>
              </w:rPr>
            </w:pPr>
            <w:r>
              <w:rPr>
                <w:rFonts w:hint="eastAsia" w:ascii="宋体" w:hAnsi="宋体"/>
                <w:sz w:val="20"/>
                <w:szCs w:val="20"/>
              </w:rPr>
              <w:t>1.妥善保存体检数据资料及异常情况检验单原件,并严格保密,未经甲方同意, 供应商不得使用、转让或发表这些数据资料。</w:t>
            </w:r>
          </w:p>
          <w:p>
            <w:pPr>
              <w:spacing w:line="276" w:lineRule="auto"/>
              <w:rPr>
                <w:rFonts w:ascii="宋体" w:hAnsi="宋体"/>
                <w:sz w:val="20"/>
                <w:szCs w:val="20"/>
              </w:rPr>
            </w:pPr>
            <w:r>
              <w:rPr>
                <w:rFonts w:hint="eastAsia" w:ascii="宋体" w:hAnsi="宋体"/>
                <w:sz w:val="20"/>
                <w:szCs w:val="20"/>
              </w:rPr>
              <w:t>2.供应商对所获得的、有关甲方或属于甲方的各类资料及其他被认为是秘密的信息，未经甲方同意，不得泄露给任何第三方。</w:t>
            </w:r>
          </w:p>
          <w:p>
            <w:pPr>
              <w:spacing w:line="276" w:lineRule="auto"/>
              <w:rPr>
                <w:rFonts w:ascii="宋体" w:hAnsi="宋体"/>
                <w:sz w:val="20"/>
                <w:szCs w:val="20"/>
              </w:rPr>
            </w:pPr>
            <w:r>
              <w:rPr>
                <w:rFonts w:hint="eastAsia" w:ascii="宋体" w:hAnsi="宋体"/>
                <w:sz w:val="20"/>
                <w:szCs w:val="20"/>
              </w:rPr>
              <w:t>3.任何一方为本项目需要，向任何人透露有关资料或信息且认为是秘密信息，应事先予以注明。</w:t>
            </w:r>
          </w:p>
          <w:p>
            <w:pPr>
              <w:spacing w:line="276" w:lineRule="auto"/>
              <w:rPr>
                <w:rFonts w:ascii="宋体" w:hAnsi="宋体"/>
                <w:sz w:val="20"/>
                <w:szCs w:val="20"/>
              </w:rPr>
            </w:pPr>
            <w:r>
              <w:rPr>
                <w:rFonts w:hint="eastAsia" w:ascii="宋体" w:hAnsi="宋体"/>
                <w:sz w:val="20"/>
                <w:szCs w:val="20"/>
              </w:rPr>
              <w:t>4.上述秘密信息，供应商只能将该信息用于服务于本项目，而且只能由相应的体检工作人员使用。</w:t>
            </w:r>
          </w:p>
          <w:p>
            <w:pPr>
              <w:spacing w:line="276" w:lineRule="auto"/>
              <w:rPr>
                <w:rFonts w:hint="eastAsia" w:ascii="宋体" w:hAnsi="宋体" w:eastAsia="宋体" w:cs="宋体"/>
                <w:sz w:val="21"/>
                <w:szCs w:val="21"/>
                <w:lang w:val="en-US" w:eastAsia="zh-CN"/>
              </w:rPr>
            </w:pPr>
            <w:r>
              <w:rPr>
                <w:rFonts w:hint="eastAsia" w:ascii="宋体" w:hAnsi="宋体"/>
                <w:sz w:val="20"/>
                <w:szCs w:val="20"/>
              </w:rPr>
              <w:t>5.供应商应遵循甲方各项安全保密制度和规章，所有信息数据在迁移、处理等过程中严禁私自复制、传输，完成建设任务后，档案信息数据必须物理清除。</w:t>
            </w:r>
          </w:p>
        </w:tc>
        <w:tc>
          <w:tcPr>
            <w:tcW w:w="7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rPr>
              <w:t>企业承诺</w:t>
            </w:r>
          </w:p>
        </w:tc>
      </w:tr>
      <w:tr>
        <w:tblPrEx>
          <w:tblLayout w:type="fixed"/>
          <w:tblCellMar>
            <w:top w:w="57" w:type="dxa"/>
            <w:left w:w="108" w:type="dxa"/>
            <w:bottom w:w="57" w:type="dxa"/>
            <w:right w:w="108" w:type="dxa"/>
          </w:tblCellMar>
        </w:tblPrEx>
        <w:trPr>
          <w:trHeight w:val="784" w:hRule="atLeast"/>
        </w:trPr>
        <w:tc>
          <w:tcPr>
            <w:tcW w:w="4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1272"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textAlignment w:val="center"/>
              <w:rPr>
                <w:rFonts w:hint="eastAsia" w:ascii="宋体" w:hAnsi="宋体" w:eastAsia="宋体" w:cs="宋体"/>
                <w:sz w:val="21"/>
                <w:szCs w:val="21"/>
                <w:lang w:val="en-US" w:eastAsia="zh-CN"/>
              </w:rPr>
            </w:pPr>
            <w:r>
              <w:rPr>
                <w:rFonts w:hint="eastAsia" w:ascii="黑体" w:hAnsi="黑体" w:eastAsia="黑体" w:cs="黑体"/>
                <w:kern w:val="0"/>
                <w:sz w:val="20"/>
                <w:szCs w:val="20"/>
                <w:lang w:bidi="ar"/>
              </w:rPr>
              <w:t>违约责任及处罚标准</w:t>
            </w:r>
          </w:p>
        </w:tc>
        <w:tc>
          <w:tcPr>
            <w:tcW w:w="54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textAlignment w:val="center"/>
              <w:rPr>
                <w:rFonts w:hint="eastAsia" w:ascii="宋体" w:hAnsi="宋体" w:eastAsia="宋体" w:cs="宋体"/>
                <w:sz w:val="21"/>
                <w:szCs w:val="21"/>
                <w:lang w:val="en-US" w:eastAsia="zh-CN"/>
              </w:rPr>
            </w:pPr>
            <w:r>
              <w:rPr>
                <w:rFonts w:hint="eastAsia" w:ascii="黑体" w:hAnsi="宋体" w:eastAsia="黑体" w:cs="黑体"/>
                <w:kern w:val="0"/>
                <w:sz w:val="20"/>
                <w:szCs w:val="20"/>
                <w:lang w:bidi="ar"/>
              </w:rPr>
              <w:t>★</w:t>
            </w:r>
          </w:p>
        </w:tc>
        <w:tc>
          <w:tcPr>
            <w:tcW w:w="6992" w:type="dxa"/>
            <w:gridSpan w:val="2"/>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sz w:val="20"/>
                <w:szCs w:val="20"/>
              </w:rPr>
            </w:pPr>
            <w:r>
              <w:rPr>
                <w:rFonts w:hint="eastAsia" w:ascii="宋体" w:hAnsi="宋体"/>
                <w:sz w:val="20"/>
                <w:szCs w:val="20"/>
              </w:rPr>
              <w:t>1.因供应商原因，漏检</w:t>
            </w:r>
            <w:r>
              <w:rPr>
                <w:rFonts w:ascii="宋体" w:hAnsi="宋体"/>
                <w:sz w:val="20"/>
                <w:szCs w:val="20"/>
              </w:rPr>
              <w:t>或丢失</w:t>
            </w:r>
            <w:r>
              <w:rPr>
                <w:rFonts w:hint="eastAsia" w:ascii="宋体" w:hAnsi="宋体"/>
                <w:sz w:val="20"/>
                <w:szCs w:val="20"/>
              </w:rPr>
              <w:t>检测</w:t>
            </w:r>
            <w:r>
              <w:rPr>
                <w:rFonts w:ascii="宋体" w:hAnsi="宋体"/>
                <w:sz w:val="20"/>
                <w:szCs w:val="20"/>
              </w:rPr>
              <w:t>数据，按</w:t>
            </w:r>
            <w:r>
              <w:rPr>
                <w:rFonts w:hint="eastAsia" w:ascii="宋体" w:hAnsi="宋体"/>
                <w:sz w:val="20"/>
                <w:szCs w:val="20"/>
              </w:rPr>
              <w:t>收</w:t>
            </w:r>
            <w:r>
              <w:rPr>
                <w:rFonts w:ascii="宋体" w:hAnsi="宋体"/>
                <w:sz w:val="20"/>
                <w:szCs w:val="20"/>
              </w:rPr>
              <w:t>费标准</w:t>
            </w:r>
            <w:r>
              <w:rPr>
                <w:rFonts w:hint="eastAsia" w:ascii="宋体" w:hAnsi="宋体"/>
                <w:sz w:val="20"/>
                <w:szCs w:val="20"/>
              </w:rPr>
              <w:t>向甲方赔偿损失并重新进行体检工作</w:t>
            </w:r>
            <w:r>
              <w:rPr>
                <w:rFonts w:ascii="宋体" w:hAnsi="宋体"/>
                <w:sz w:val="20"/>
                <w:szCs w:val="20"/>
              </w:rPr>
              <w:t>。</w:t>
            </w:r>
          </w:p>
          <w:p>
            <w:pPr>
              <w:spacing w:line="276" w:lineRule="auto"/>
              <w:rPr>
                <w:rFonts w:hint="eastAsia" w:ascii="宋体" w:hAnsi="宋体"/>
                <w:sz w:val="20"/>
                <w:szCs w:val="20"/>
              </w:rPr>
            </w:pPr>
            <w:r>
              <w:rPr>
                <w:rFonts w:ascii="宋体" w:hAnsi="宋体"/>
                <w:sz w:val="20"/>
                <w:szCs w:val="20"/>
              </w:rPr>
              <w:t>2</w:t>
            </w:r>
            <w:r>
              <w:rPr>
                <w:rFonts w:hint="eastAsia" w:ascii="宋体" w:hAnsi="宋体"/>
                <w:sz w:val="20"/>
                <w:szCs w:val="20"/>
              </w:rPr>
              <w:t>.供应商人员</w:t>
            </w:r>
            <w:r>
              <w:rPr>
                <w:rFonts w:ascii="宋体" w:hAnsi="宋体"/>
                <w:sz w:val="20"/>
                <w:szCs w:val="20"/>
              </w:rPr>
              <w:t>进入</w:t>
            </w:r>
            <w:r>
              <w:rPr>
                <w:rFonts w:hint="eastAsia" w:ascii="宋体" w:hAnsi="宋体"/>
                <w:sz w:val="20"/>
                <w:szCs w:val="20"/>
              </w:rPr>
              <w:t>甲方</w:t>
            </w:r>
            <w:r>
              <w:rPr>
                <w:rFonts w:ascii="宋体" w:hAnsi="宋体"/>
                <w:sz w:val="20"/>
                <w:szCs w:val="20"/>
              </w:rPr>
              <w:t>工作时，</w:t>
            </w:r>
            <w:r>
              <w:rPr>
                <w:rFonts w:hint="eastAsia" w:ascii="宋体" w:hAnsi="宋体"/>
                <w:sz w:val="20"/>
                <w:szCs w:val="20"/>
              </w:rPr>
              <w:t>不能遵守当时北京及</w:t>
            </w:r>
            <w:r>
              <w:rPr>
                <w:rFonts w:ascii="宋体" w:hAnsi="宋体"/>
                <w:sz w:val="20"/>
                <w:szCs w:val="20"/>
              </w:rPr>
              <w:t>医院</w:t>
            </w:r>
            <w:r>
              <w:rPr>
                <w:rFonts w:hint="eastAsia" w:ascii="宋体" w:hAnsi="宋体"/>
                <w:sz w:val="20"/>
                <w:szCs w:val="20"/>
              </w:rPr>
              <w:t>防疫要求的，发现处以供应商1000元/人罚款，并更换人员。</w:t>
            </w:r>
          </w:p>
          <w:p>
            <w:pPr>
              <w:spacing w:line="276" w:lineRule="auto"/>
              <w:rPr>
                <w:rFonts w:hint="eastAsia" w:ascii="宋体" w:hAnsi="宋体"/>
                <w:sz w:val="20"/>
                <w:szCs w:val="20"/>
              </w:rPr>
            </w:pPr>
            <w:r>
              <w:rPr>
                <w:rFonts w:hint="eastAsia" w:ascii="宋体" w:hAnsi="宋体"/>
                <w:sz w:val="20"/>
                <w:szCs w:val="20"/>
              </w:rPr>
              <w:t>3.日常服务中，方法不符合规范要求，操作人员不服从管理，经需求单位提出不能及时改正，处200元／次的罚款。</w:t>
            </w:r>
          </w:p>
          <w:p>
            <w:pPr>
              <w:spacing w:line="276" w:lineRule="auto"/>
              <w:rPr>
                <w:rFonts w:ascii="宋体" w:hAnsi="宋体"/>
                <w:sz w:val="20"/>
                <w:szCs w:val="20"/>
              </w:rPr>
            </w:pPr>
            <w:r>
              <w:rPr>
                <w:rFonts w:hint="eastAsia" w:ascii="宋体" w:hAnsi="宋体"/>
                <w:sz w:val="20"/>
                <w:szCs w:val="20"/>
              </w:rPr>
              <w:t>4.因供应商原因，不能按需求单位要求完成临时体检任务的，每出现一次罚款2000元。</w:t>
            </w:r>
          </w:p>
          <w:p>
            <w:pPr>
              <w:spacing w:line="276" w:lineRule="auto"/>
              <w:rPr>
                <w:rFonts w:hint="eastAsia" w:ascii="宋体" w:hAnsi="宋体"/>
                <w:sz w:val="20"/>
                <w:szCs w:val="20"/>
              </w:rPr>
            </w:pPr>
            <w:r>
              <w:rPr>
                <w:rFonts w:hint="eastAsia" w:ascii="宋体" w:hAnsi="宋体"/>
                <w:sz w:val="20"/>
                <w:szCs w:val="20"/>
              </w:rPr>
              <w:t>5.因供应商原因，不能按需求单位要求时间提交体检报告的，每推迟一天罚款2000元。</w:t>
            </w:r>
          </w:p>
          <w:p>
            <w:pPr>
              <w:spacing w:line="276" w:lineRule="auto"/>
              <w:rPr>
                <w:rFonts w:hint="eastAsia" w:ascii="宋体" w:hAnsi="宋体"/>
                <w:sz w:val="20"/>
                <w:szCs w:val="20"/>
              </w:rPr>
            </w:pPr>
            <w:r>
              <w:rPr>
                <w:rFonts w:hint="eastAsia" w:ascii="宋体" w:hAnsi="宋体"/>
                <w:sz w:val="20"/>
                <w:szCs w:val="20"/>
              </w:rPr>
              <w:t>6.因供应商原因，对合同约定的体检内容未能按计划实施，供应商应积极补救，否则，扣除全部履约保证金；给需求单位的辐射安全管理工作或正常运行造成严重影响的，产生的损失由供应商承担。</w:t>
            </w:r>
          </w:p>
          <w:p>
            <w:pPr>
              <w:spacing w:line="276" w:lineRule="auto"/>
              <w:rPr>
                <w:rFonts w:hint="eastAsia" w:ascii="宋体" w:hAnsi="宋体" w:eastAsia="宋体" w:cs="宋体"/>
                <w:sz w:val="21"/>
                <w:szCs w:val="21"/>
                <w:lang w:val="en-US" w:eastAsia="zh-CN"/>
              </w:rPr>
            </w:pPr>
            <w:r>
              <w:rPr>
                <w:rFonts w:hint="eastAsia" w:ascii="宋体" w:hAnsi="宋体"/>
                <w:sz w:val="20"/>
                <w:szCs w:val="20"/>
              </w:rPr>
              <w:t>7.所有罚款在结算付款时扣除。</w:t>
            </w:r>
          </w:p>
        </w:tc>
        <w:tc>
          <w:tcPr>
            <w:tcW w:w="7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textAlignment w:val="center"/>
              <w:rPr>
                <w:rFonts w:hint="eastAsia" w:ascii="宋体" w:hAnsi="宋体" w:eastAsia="宋体" w:cs="宋体"/>
                <w:sz w:val="21"/>
                <w:szCs w:val="21"/>
                <w:lang w:val="en-US"/>
              </w:rPr>
            </w:pPr>
            <w:r>
              <w:rPr>
                <w:rFonts w:hint="eastAsia" w:ascii="宋体" w:hAnsi="宋体" w:eastAsia="宋体" w:cs="宋体"/>
                <w:sz w:val="21"/>
                <w:szCs w:val="21"/>
              </w:rPr>
              <w:t>企业承诺</w:t>
            </w:r>
          </w:p>
        </w:tc>
      </w:tr>
    </w:tbl>
    <w:p>
      <w:bookmarkStart w:id="0" w:name="_GoBack"/>
      <w:bookmarkEnd w:id="0"/>
    </w:p>
    <w:sectPr>
      <w:pgSz w:w="11906" w:h="16838"/>
      <w:pgMar w:top="1440" w:right="1009" w:bottom="1440" w:left="112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libaba3-45">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34754"/>
    <w:rsid w:val="04770A4C"/>
    <w:rsid w:val="1D8E530B"/>
    <w:rsid w:val="27FA64DC"/>
    <w:rsid w:val="3A633BB5"/>
    <w:rsid w:val="40D34754"/>
    <w:rsid w:val="46B67806"/>
    <w:rsid w:val="47801F44"/>
    <w:rsid w:val="4B423B40"/>
    <w:rsid w:val="7B395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3">
    <w:name w:val="annotation text"/>
    <w:basedOn w:val="1"/>
    <w:qFormat/>
    <w:uiPriority w:val="0"/>
    <w:pPr>
      <w:jc w:val="left"/>
    </w:pPr>
  </w:style>
  <w:style w:type="paragraph" w:styleId="4">
    <w:name w:val="Body Text"/>
    <w:basedOn w:val="1"/>
    <w:next w:val="1"/>
    <w:qFormat/>
    <w:uiPriority w:val="99"/>
    <w:pPr>
      <w:spacing w:after="120"/>
    </w:pPr>
  </w:style>
  <w:style w:type="character" w:styleId="7">
    <w:name w:val="Hyperlink"/>
    <w:basedOn w:val="6"/>
    <w:qFormat/>
    <w:uiPriority w:val="0"/>
    <w:rPr>
      <w:color w:val="0000FF"/>
      <w:u w:val="single"/>
    </w:rPr>
  </w:style>
  <w:style w:type="character" w:customStyle="1" w:styleId="8">
    <w:name w:val="NormalCharacter"/>
    <w:semiHidden/>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2025-02-21T02:26:00Z</dcterms:created>
  <dc:creator>administrator</dc:creator>
  <cp:lastModifiedBy>administrator</cp:lastModifiedBy>
  <dcterms:modified xsi:type="dcterms:W3CDTF">2026-06-12T11:26:29Z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