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80" w:beforeLines="50" w:after="180" w:afterLines="50" w:line="572" w:lineRule="exact"/>
        <w:jc w:val="center"/>
        <w:outlineLvl w:val="0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7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89"/>
        <w:gridCol w:w="720"/>
        <w:gridCol w:w="75"/>
        <w:gridCol w:w="3210"/>
        <w:gridCol w:w="1208"/>
        <w:gridCol w:w="727"/>
        <w:gridCol w:w="1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心肺复苏机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4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对心脏骤停患者进行胸外按压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具有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NMPA（CFDA）</w:t>
            </w: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、</w:t>
            </w: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 w:bidi="ar"/>
              </w:rPr>
              <w:t>FDA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认证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认证材料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val="en-US" w:eastAsia="zh-CN"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具备FDA或CE认证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认证材料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适航证明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具备IEC60601-1-12适航证明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2"/>
                <w:lang w:eastAsia="zh-CN" w:bidi="ar"/>
              </w:rPr>
              <w:t>驱动方式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应为电动电控心肺复苏机，不以气体作为驱动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按压模式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按压模式：30：2模式和连续按压模式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按压频率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按压频率≥100次/分钟，误差≤±2次/分钟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按压深度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最大按压深度不超过5.5cm，误差≤±0.2cm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按键模式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操作按键采用物理按键，非显示屏设计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按压方式：电控按压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重量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  <w:t>▲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重量（含电池）≤9kg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2"/>
                <w:lang w:eastAsia="zh-CN" w:bidi="ar"/>
              </w:rPr>
              <w:t>背板射线穿透性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背板可透X光射线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供电方式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供电方式：电池供电、墙壁电、车载供电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胸廓复位装置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szCs w:val="22"/>
                <w:lang w:val="en-US" w:eastAsia="zh-CN"/>
              </w:rPr>
              <w:t>具备胸廓复位装置，确保患者胸廓1:1复位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除颤方式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与除颤手柄同步使用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2"/>
                <w:lang w:eastAsia="zh-CN" w:bidi="ar"/>
              </w:rPr>
              <w:t>防水指标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防水防尘≥IP43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工作环境温度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2"/>
                <w:lang w:val="en-US" w:eastAsia="zh-CN" w:bidi="ar"/>
              </w:rPr>
              <w:t>工作环境温度：5-40℃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2"/>
                <w:lang w:eastAsia="zh-CN" w:bidi="ar"/>
              </w:rPr>
              <w:t>材质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kern w:val="0"/>
                <w:sz w:val="20"/>
                <w:lang w:bidi="ar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设备固定和支撑组件采用硬质材料，避免机器重量附加到患者身上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启动时间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设备安装启动时间≤15秒。设备在15秒内可完成组装并启动对病人按压所需的所有操作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0"/>
                <w:lang w:val="en-US" w:eastAsia="zh-CN"/>
              </w:rPr>
              <w:t>19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配置要求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2"/>
                <w:lang w:val="en-US" w:eastAsia="zh-CN" w:bidi="ar"/>
              </w:rPr>
              <w:t>心肺复苏主机、按压背板、电源适配器、吸盘、便携背包、手臂固定带、电池、说明、充电线，以上部件各一套。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合同签订后</w:t>
            </w:r>
            <w:r>
              <w:rPr>
                <w:rFonts w:hint="eastAsia" w:ascii="黑体" w:hAnsi="宋体" w:eastAsia="黑体" w:cs="黑体"/>
                <w:kern w:val="0"/>
                <w:sz w:val="20"/>
                <w:lang w:val="en-US" w:eastAsia="zh-CN" w:bidi="ar"/>
              </w:rPr>
              <w:t>1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个月内交付，交付地点由甲方指定。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sz w:val="20"/>
                <w:lang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物资到货（服务完成）验收后付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val="en-US" w:eastAsia="zh-CN" w:bidi="ar"/>
              </w:rPr>
              <w:t>100</w:t>
            </w: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保修年限不低于3年，全年故障停机时间不高于5%（按365日/年计算)。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3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4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提供不少于1人次、1天的工程师维修培训。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sz w:val="20"/>
              </w:rPr>
              <w:t>5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（质保）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 w:val="20"/>
                <w:lang w:bidi="ar"/>
              </w:rPr>
              <w:t>维修响应时间≤8小时，维修到达现场时间≤12小时。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6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售后服务</w:t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0"/>
                <w:lang w:bidi="ar"/>
              </w:rPr>
              <w:t>（响应时间）</w:t>
            </w:r>
          </w:p>
        </w:tc>
      </w:tr>
    </w:tbl>
    <w:p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701" w:right="1474" w:bottom="1701" w:left="1588" w:header="850" w:footer="1247" w:gutter="0"/>
      <w:cols w:space="72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81F24"/>
    <w:rsid w:val="0F6316DA"/>
    <w:rsid w:val="174939F4"/>
    <w:rsid w:val="215743F0"/>
    <w:rsid w:val="25A3594C"/>
    <w:rsid w:val="26F40A40"/>
    <w:rsid w:val="2DDF675D"/>
    <w:rsid w:val="2E2B4ED4"/>
    <w:rsid w:val="33FE7507"/>
    <w:rsid w:val="383742B1"/>
    <w:rsid w:val="4E55671D"/>
    <w:rsid w:val="5D1B3AED"/>
    <w:rsid w:val="75220A13"/>
    <w:rsid w:val="77285CC8"/>
    <w:rsid w:val="7885293D"/>
    <w:rsid w:val="7C04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font111"/>
    <w:basedOn w:val="8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2025-04-04T13:37:00Z</dcterms:created>
  <dc:creator>wykjyb2</dc:creator>
  <cp:lastModifiedBy>Lenovo</cp:lastModifiedBy>
  <cp:lastPrinted>2025-06-04T01:17:00Z</cp:lastPrinted>
  <dcterms:modified xsi:type="dcterms:W3CDTF">2026-06-16T00:37:49Z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