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numPr>
          <w:ilvl w:val="0"/>
          <w:numId w:val="1"/>
        </w:numPr>
        <w:adjustRightInd w:val="0"/>
        <w:snapToGrid w:val="0"/>
        <w:spacing w:line="560" w:lineRule="exact"/>
        <w:jc w:val="center"/>
        <w:rPr>
          <w:rFonts w:hint="eastAsia"/>
          <w:b w:val="0"/>
          <w:color w:val="auto"/>
          <w:szCs w:val="44"/>
          <w:highlight w:val="none"/>
          <w:lang w:val="zh-CN"/>
        </w:rPr>
      </w:pPr>
      <w:bookmarkStart w:id="0" w:name="_Toc20816"/>
      <w:bookmarkStart w:id="1" w:name="_Toc21513"/>
      <w:bookmarkStart w:id="2" w:name="_Toc21632"/>
      <w:bookmarkStart w:id="3" w:name="_Toc130661176"/>
      <w:bookmarkStart w:id="4" w:name="_Toc130888005"/>
      <w:bookmarkStart w:id="5" w:name="_Toc132191257"/>
      <w:bookmarkStart w:id="6" w:name="_Toc28545"/>
      <w:bookmarkStart w:id="7" w:name="_Toc32050"/>
      <w:bookmarkStart w:id="8" w:name="_Toc9692"/>
      <w:bookmarkStart w:id="9" w:name="_Toc112768491"/>
      <w:bookmarkStart w:id="10" w:name="_Toc128154366"/>
      <w:bookmarkStart w:id="11" w:name="_Toc30564"/>
      <w:bookmarkStart w:id="12" w:name="_Toc112317781"/>
      <w:bookmarkStart w:id="13" w:name="_Toc128470293"/>
      <w:bookmarkStart w:id="14" w:name="_Toc132186973"/>
      <w:bookmarkStart w:id="15" w:name="_Toc32667"/>
      <w:bookmarkStart w:id="16" w:name="_Toc24884"/>
      <w:bookmarkStart w:id="17" w:name="_Toc128470295"/>
      <w:bookmarkStart w:id="18" w:name="_Toc132186975"/>
      <w:bookmarkStart w:id="19" w:name="_Toc3045"/>
      <w:bookmarkStart w:id="20" w:name="_Toc130888007"/>
      <w:bookmarkStart w:id="21" w:name="_Toc128154368"/>
      <w:bookmarkStart w:id="22" w:name="_Toc132191259"/>
      <w:bookmarkStart w:id="23" w:name="_Toc30083"/>
      <w:r>
        <w:rPr>
          <w:rFonts w:hint="eastAsia"/>
          <w:b w:val="0"/>
          <w:color w:val="auto"/>
          <w:szCs w:val="44"/>
          <w:highlight w:val="none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Start w:id="24" w:name="_Toc112768493"/>
      <w:bookmarkStart w:id="25" w:name="_Toc13753"/>
      <w:bookmarkStart w:id="26" w:name="_Toc25325"/>
      <w:bookmarkStart w:id="27" w:name="_Toc17189"/>
      <w:bookmarkStart w:id="28" w:name="_Toc32238"/>
      <w:bookmarkStart w:id="29" w:name="_Toc22977"/>
      <w:bookmarkStart w:id="30" w:name="_Toc132191258"/>
      <w:bookmarkStart w:id="31" w:name="_Toc112681847"/>
      <w:bookmarkStart w:id="32" w:name="_Toc21712"/>
      <w:bookmarkStart w:id="33" w:name="_Toc130888006"/>
      <w:bookmarkStart w:id="34" w:name="_Toc14060"/>
      <w:bookmarkStart w:id="35" w:name="_Toc285612596"/>
      <w:bookmarkStart w:id="36" w:name="_Toc13168"/>
      <w:bookmarkStart w:id="37" w:name="_Toc128154367"/>
      <w:bookmarkStart w:id="38" w:name="_Toc22203"/>
      <w:bookmarkStart w:id="39" w:name="_Toc128470294"/>
      <w:bookmarkStart w:id="40" w:name="_Toc132186974"/>
      <w:bookmarkStart w:id="41" w:name="_Toc20366"/>
      <w:bookmarkStart w:id="42" w:name="_Toc27651"/>
    </w:p>
    <w:p>
      <w:pPr>
        <w:pStyle w:val="3"/>
        <w:keepNext w:val="0"/>
        <w:keepLines w:val="0"/>
        <w:numPr>
          <w:ilvl w:val="0"/>
          <w:numId w:val="0"/>
        </w:numPr>
        <w:adjustRightInd w:val="0"/>
        <w:snapToGrid w:val="0"/>
        <w:spacing w:line="560" w:lineRule="exact"/>
        <w:jc w:val="both"/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  <w:t>一、</w:t>
      </w: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  <w:lang w:eastAsia="zh-CN"/>
        </w:rPr>
        <w:t>商务要求</w:t>
      </w:r>
      <w: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  <w:t>（不接受负偏离，且须在投标文件的商务技术文件中</w:t>
      </w:r>
      <w:r>
        <w:rPr>
          <w:rFonts w:hint="eastAsia" w:ascii="黑体" w:hAnsi="黑体" w:cs="黑体"/>
          <w:b/>
          <w:bCs w:val="0"/>
          <w:color w:val="auto"/>
          <w:sz w:val="28"/>
          <w:szCs w:val="28"/>
          <w:u w:val="single"/>
          <w:lang w:eastAsia="zh-CN"/>
        </w:rPr>
        <w:t>单独附页承诺</w:t>
      </w:r>
      <w:r>
        <w:rPr>
          <w:rFonts w:hint="eastAsia" w:ascii="黑体" w:hAnsi="黑体" w:cs="黑体"/>
          <w:b w:val="0"/>
          <w:color w:val="auto"/>
          <w:sz w:val="28"/>
          <w:szCs w:val="28"/>
          <w:lang w:eastAsia="zh-CN"/>
        </w:rPr>
        <w:t>）</w:t>
      </w:r>
    </w:p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165"/>
        <w:gridCol w:w="559"/>
        <w:gridCol w:w="4646"/>
        <w:gridCol w:w="1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签订合同付（预付）0%，物资到货（服务完成）验收后付95%。验收合格后满1年无质量问题支付剩余5%（不超过5%）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保修年限不低于3年，全年故障停机时间不高于5%（按365日/年计算)。故障停机每超出1天，按两倍时间延保。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提供不少于2人次、5个工作日的工程师维修培训。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要求在京津冀地区具备售后维修网点，维修响应时间≤0.5小时，维修到达现场时间≤4小时。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由供应商承诺设备零配件供应≥8年，供应商提供核心部件、易损件的维修报价清单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投标供应商应当保证采购单位在使用该物资或其任何一部分时，不受第三方侵权指控。同时，投标供应商不得向第三方泄露采购机构提供的技术文件等材料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  <w:br w:type="page"/>
      </w:r>
    </w:p>
    <w:p>
      <w:pPr>
        <w:pStyle w:val="4"/>
        <w:numPr>
          <w:ilvl w:val="0"/>
          <w:numId w:val="2"/>
        </w:numPr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</w:pPr>
      <w: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  <w:t>技术要求</w:t>
      </w:r>
      <w:bookmarkEnd w:id="17"/>
      <w:bookmarkEnd w:id="18"/>
      <w:bookmarkEnd w:id="19"/>
      <w:bookmarkEnd w:id="20"/>
      <w:bookmarkEnd w:id="21"/>
      <w:bookmarkEnd w:id="22"/>
      <w:bookmarkEnd w:id="23"/>
      <w:bookmarkEnd w:id="41"/>
      <w:bookmarkEnd w:id="42"/>
    </w:p>
    <w:tbl>
      <w:tblPr>
        <w:tblStyle w:val="6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949"/>
        <w:gridCol w:w="553"/>
        <w:gridCol w:w="4262"/>
        <w:gridCol w:w="477"/>
        <w:gridCol w:w="141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适用于手术器械、玻璃器皿、呼吸治疗物品进行干燥处理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CE认证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相关认证证书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企业ISO13485认证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相关认证证书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处理量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容积≥280L，一次可处理≥18个器械托盘或36根麻醉管道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自动控制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自动诊断, 干燥温度和时间：70℃－90℃可调，干燥时间（0-90） min可调；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可显示温度和剩余时间。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噪音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≤50dB(分贝)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内置过滤器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对0.01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µ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M的颗粒分离效率≥94%。静电吸附过滤器，无需更换过滤膜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空气流量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≥200 m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/h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管道夹系统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管道从清洗消毒器直接转送到干燥柜，接口直径（3-65）mm可选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进风方式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双风扇，≥80%热风进行循环，其余为新风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柜门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双门设计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外部尺寸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高:1850mm±5%、宽:860mm±5%、深:530mm±5%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主机：1台，呼吸麻醉管路支架1套，气囊支架1套,器械托盘1套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无封闭耗材（试剂）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bookmarkStart w:id="43" w:name="_GoBack"/>
      <w:bookmarkEnd w:id="4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BCBFD"/>
    <w:multiLevelType w:val="singleLevel"/>
    <w:tmpl w:val="35BBCBFD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6D9FE1BD"/>
    <w:multiLevelType w:val="singleLevel"/>
    <w:tmpl w:val="6D9FE1B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2026-06-16T00:24:30Z</dcterms:created>
  <dc:creator>DOCTOR</dc:creator>
  <cp:lastModifiedBy>DOCTOR</cp:lastModifiedBy>
  <dcterms:modified xsi:type="dcterms:W3CDTF">2026-06-16T00:25:11Z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