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eastAsia="zh-CN"/>
        </w:rPr>
      </w:pPr>
      <w:bookmarkStart w:id="0" w:name="_Toc112681847"/>
      <w:bookmarkStart w:id="1" w:name="_Toc150421247"/>
      <w:bookmarkStart w:id="2" w:name="_Toc132191258"/>
      <w:bookmarkStart w:id="3" w:name="_Toc2406"/>
      <w:bookmarkStart w:id="4" w:name="_Toc128470294"/>
      <w:bookmarkStart w:id="5" w:name="_Toc13168"/>
      <w:bookmarkStart w:id="6" w:name="_Toc22977"/>
      <w:bookmarkStart w:id="7" w:name="_Toc132186974"/>
      <w:bookmarkStart w:id="8" w:name="_Toc32238"/>
      <w:bookmarkStart w:id="9" w:name="_Toc22203"/>
      <w:bookmarkStart w:id="10" w:name="_Toc130888006"/>
      <w:bookmarkStart w:id="11" w:name="_Toc128154367"/>
      <w:bookmarkStart w:id="12" w:name="_Toc112768493"/>
      <w:bookmarkStart w:id="13" w:name="_Toc14060"/>
      <w:bookmarkStart w:id="14" w:name="_Toc152058290"/>
      <w:r>
        <w:rPr>
          <w:rFonts w:hint="eastAsia" w:ascii="黑体" w:hAnsi="黑体" w:cs="黑体"/>
          <w:b/>
          <w:bCs/>
          <w:color w:val="auto"/>
          <w:sz w:val="28"/>
          <w:szCs w:val="28"/>
        </w:rPr>
        <w:t>一、商务要求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10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2061"/>
        <w:gridCol w:w="694"/>
        <w:gridCol w:w="4411"/>
        <w:gridCol w:w="17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15" w:name="_Toc128150134"/>
            <w:bookmarkStart w:id="16" w:name="_Toc152057837"/>
            <w:bookmarkStart w:id="17" w:name="_Toc128150778"/>
            <w:bookmarkStart w:id="18" w:name="_Toc130887500"/>
            <w:bookmarkStart w:id="19" w:name="_Toc128397970"/>
            <w:bookmarkStart w:id="20" w:name="_Toc127820564"/>
            <w:bookmarkStart w:id="21" w:name="_Toc128151027"/>
            <w:bookmarkStart w:id="22" w:name="_Toc16735"/>
            <w:bookmarkStart w:id="23" w:name="_Toc150418428"/>
            <w:bookmarkStart w:id="24" w:name="_Toc132190634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性质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合同签订后1个月内交付，交付地点北京。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签订合同物资到货30%，验收合格后付65%。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质量保证金，验收合格且质保期满后无质量问题支付剩余5%。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质保期≥3年，质保期内硬盘免返服务，质保期内从验收合格日期起算，由供应商承诺项目使用寿命周期内保证零配件供应，中标后需出具原厂授权函及售后服务承诺函。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质保期内免费提供定期维护保养服务，免费升级和维护软件，免费提供使用培训。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提供不少于5人次、7天的工程师维修培训。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维修响应时间≤4小时，京内维修到达现场时间≤12小时，京外维修到达现场时间≤48小时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专用工具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提供设备上架所需要的所有电缆、标签、模块等辅助材料。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</w:tbl>
    <w:p>
      <w:pP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br w:type="page"/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t>技术要求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tbl>
      <w:tblPr>
        <w:tblStyle w:val="10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2061"/>
        <w:gridCol w:w="694"/>
        <w:gridCol w:w="4411"/>
        <w:gridCol w:w="17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性质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1.国产品牌；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2.高性能服务器1台。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高性能服务器-规格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4U标准机架式，自带导轨，单台配置如下。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高性能服务器-处理器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CPU数量≥2颗，单颗CPU主频≥3.10GHz，单颗CPU核心数≥64核，L3缓存≥256MB。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高性能服务器-内存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单条容量≥64GB DDR5 ECC REG DIMM内存，频率≥5600MHz，实配≥10条。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高性能服务器-系统盘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单盘容量≥480G SSD硬盘，实配≥2块，支持硬盘热插拔。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高性能服务器-数据盘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单盘容量≥16TB SAS硬盘，实配≥2块，支持硬盘热插拔。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高性能服务器-网卡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整机配置≥2个万兆光口。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高性能服务器-GPU卡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单块显存≥96GB，FP32≥125 TFLOPS，内存带宽≥1792GB/s，实配≥1块。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高性能服务器-Raid卡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配置≥1块独立RAID卡（含掉电保护），2GB缓存模块，支持RAID 0/1/5/6/10。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高性能服务器-电源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单块可插拔电源功率≥2000W，实配≥2块。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高性能服务器-管理口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具有独立的远程管理端口。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高性能服务器-操作系统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提供Linux系统安装。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高性能服务器-应用程序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提供BWA，Blast，Bowtie2，TensorFlow，PyTorch等软件安装和技术支持服务。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按照投标文件、采购合同、质量标准等，组织对该服务器进行质量验收，出具验收报告。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说明：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（1）★指标为必须响应指标，任意一项不满足要求即做废标处理；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（2）《采购需求表》备注已明确证明材料种类的，以所注内容或国家行政管理部门、专业检测机构出具的证明材料为准。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（3）★标识指标及▲标识指标须提供技术支持材料，支持材料包括但不限于以下任意一种或几种：产品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  <w:bookmarkStart w:id="25" w:name="_GoBack"/>
      <w:bookmarkEnd w:id="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（4）无标识指标正偏离需参照上述要求提供技术支持材料，未提供的正偏离不予认可。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（5）加注“★”、“▲”号的技术指标均需投标企业提供证明材料（证明材料为“企业承诺的，在技术商务指标参数响应偏离表中体现即可）。</w:t>
      </w:r>
    </w:p>
    <w:sectPr>
      <w:headerReference r:id="rId3" w:type="default"/>
      <w:footerReference r:id="rId4" w:type="default"/>
      <w:pgSz w:w="11906" w:h="16838"/>
      <w:pgMar w:top="1134" w:right="1134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827858875"/>
      </w:sdtPr>
      <w:sdtContent/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hint="eastAsia" w:ascii="楷体_GB2312" w:hAnsi="楷体" w:eastAsia="楷体_GB2312" w:cs="楷体"/>
        <w:sz w:val="21"/>
        <w:szCs w:val="21"/>
        <w:lang w:eastAsia="zh-CN"/>
      </w:rPr>
    </w:pPr>
    <w:r>
      <w:rPr>
        <w:sz w:val="21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38470" cy="8891270"/>
          <wp:effectExtent l="0" t="0" r="5080" b="5080"/>
          <wp:wrapNone/>
          <wp:docPr id="46" name="WordPictureWatermark237255" descr="水印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WordPictureWatermark237255" descr="水印图片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38470" cy="8891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楷体_GB2312" w:hAnsi="楷体" w:eastAsia="楷体_GB2312" w:cs="楷体"/>
        <w:sz w:val="21"/>
        <w:szCs w:val="21"/>
      </w:rPr>
      <w:t>第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六</w:t>
    </w:r>
    <w:r>
      <w:rPr>
        <w:rFonts w:hint="eastAsia" w:ascii="楷体_GB2312" w:hAnsi="楷体" w:eastAsia="楷体_GB2312" w:cs="楷体"/>
        <w:sz w:val="21"/>
        <w:szCs w:val="21"/>
      </w:rPr>
      <w:t>章 采购项目商务和技术要求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D66C86"/>
    <w:multiLevelType w:val="singleLevel"/>
    <w:tmpl w:val="B3D66C8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wOWRjZTg3ZjBlNWMzYzE4YjA1Yzg1MzdmOWRhYTcifQ=="/>
  </w:docVars>
  <w:rsids>
    <w:rsidRoot w:val="00000000"/>
    <w:rsid w:val="1ECF5BC7"/>
    <w:rsid w:val="23E2050F"/>
    <w:rsid w:val="2671770B"/>
    <w:rsid w:val="41FD572E"/>
    <w:rsid w:val="477511A4"/>
    <w:rsid w:val="4BF26A93"/>
    <w:rsid w:val="7D0B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 2"/>
    <w:basedOn w:val="5"/>
    <w:semiHidden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2025-05-12T11:58:00Z</dcterms:created>
  <dc:creator>DOCTOR</dc:creator>
  <cp:lastModifiedBy>DOCTOR</cp:lastModifiedBy>
  <dcterms:modified xsi:type="dcterms:W3CDTF">2026-06-24T00:12:10Z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8923F17829784343B44F927D21602F24_12</vt:lpwstr>
  </property>
</Properties>
</file>