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60" w:lineRule="exact"/>
        <w:ind w:firstLine="0" w:firstLineChars="0"/>
        <w:jc w:val="center"/>
        <w:outlineLvl w:val="0"/>
        <w:rPr>
          <w:rFonts w:eastAsia="方正小标宋简体"/>
          <w:kern w:val="0"/>
          <w:sz w:val="44"/>
          <w:szCs w:val="44"/>
        </w:rPr>
      </w:pPr>
      <w:bookmarkStart w:id="0" w:name="_Toc130888538"/>
      <w:bookmarkStart w:id="1" w:name="_Toc23828"/>
      <w:bookmarkStart w:id="2" w:name="_Toc1853"/>
      <w:bookmarkStart w:id="3" w:name="_Toc121476580"/>
      <w:bookmarkStart w:id="4" w:name="_Toc150352114"/>
      <w:bookmarkStart w:id="5" w:name="_Toc128151306"/>
      <w:bookmarkStart w:id="6" w:name="_Toc19995"/>
      <w:bookmarkStart w:id="7" w:name="_Toc29657"/>
      <w:bookmarkStart w:id="8" w:name="_Toc112768491"/>
      <w:bookmarkStart w:id="9" w:name="_Toc28981"/>
      <w:bookmarkStart w:id="10" w:name="_Toc28299"/>
      <w:bookmarkStart w:id="11" w:name="_Toc113349538"/>
      <w:bookmarkStart w:id="12" w:name="_Toc21632"/>
      <w:bookmarkStart w:id="13" w:name="_Toc27147"/>
      <w:bookmarkStart w:id="14" w:name="_Toc132399636"/>
      <w:r>
        <w:rPr>
          <w:rFonts w:hint="eastAsia" w:eastAsia="方正小标宋简体"/>
          <w:kern w:val="0"/>
          <w:sz w:val="44"/>
          <w:szCs w:val="44"/>
        </w:rPr>
        <w:t>第六章</w:t>
      </w:r>
      <w:r>
        <w:rPr>
          <w:rFonts w:eastAsia="方正小标宋简体"/>
          <w:kern w:val="0"/>
          <w:sz w:val="44"/>
          <w:szCs w:val="44"/>
        </w:rPr>
        <w:t xml:space="preserve"> </w:t>
      </w:r>
      <w:r>
        <w:rPr>
          <w:rFonts w:hint="eastAsia" w:eastAsia="方正小标宋简体"/>
          <w:kern w:val="0"/>
          <w:sz w:val="44"/>
          <w:szCs w:val="44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  <w:spacing w:line="560" w:lineRule="exact"/>
        <w:ind w:firstLine="560"/>
        <w:rPr>
          <w:rFonts w:hint="eastAsia" w:ascii="宋体" w:hAnsi="宋体"/>
          <w:sz w:val="28"/>
          <w:szCs w:val="28"/>
          <w:lang w:val="zh-CN"/>
        </w:rPr>
      </w:pPr>
      <w:bookmarkStart w:id="15" w:name="_Toc14187"/>
      <w:bookmarkStart w:id="16" w:name="_Toc31915"/>
      <w:bookmarkStart w:id="17" w:name="_Toc20518"/>
      <w:bookmarkStart w:id="18" w:name="_Toc113349540"/>
      <w:bookmarkStart w:id="19" w:name="_Toc121476582"/>
      <w:bookmarkStart w:id="20" w:name="_Toc19477"/>
      <w:bookmarkStart w:id="21" w:name="_Toc624"/>
      <w:bookmarkStart w:id="22" w:name="_Toc32238"/>
      <w:bookmarkStart w:id="23" w:name="_Toc112681847"/>
      <w:bookmarkStart w:id="24" w:name="_Toc112768493"/>
      <w:bookmarkStart w:id="25" w:name="_Toc16726"/>
      <w:bookmarkStart w:id="26" w:name="_Toc128151307"/>
      <w:bookmarkStart w:id="27" w:name="_Toc5753"/>
      <w:r>
        <w:rPr>
          <w:rFonts w:hint="eastAsia" w:ascii="宋体" w:hAnsi="宋体"/>
          <w:sz w:val="28"/>
          <w:szCs w:val="28"/>
          <w:lang w:val="zh-CN"/>
        </w:rPr>
        <w:t>单一来源采购项目所有指标均不接受负偏离，经谈判后任意一项不满足采购文件要求，即按废标处理。</w:t>
      </w:r>
    </w:p>
    <w:p>
      <w:pPr>
        <w:tabs>
          <w:tab w:val="left" w:pos="0"/>
          <w:tab w:val="left" w:pos="846"/>
          <w:tab w:val="left" w:pos="1122"/>
        </w:tabs>
        <w:spacing w:line="560" w:lineRule="exact"/>
        <w:ind w:firstLine="560"/>
        <w:outlineLvl w:val="2"/>
        <w:rPr>
          <w:rFonts w:eastAsia="黑体"/>
          <w:b/>
          <w:sz w:val="28"/>
          <w:szCs w:val="28"/>
        </w:rPr>
      </w:pPr>
      <w:bookmarkStart w:id="28" w:name="_Toc18800"/>
      <w:r>
        <w:rPr>
          <w:rFonts w:hint="eastAsia" w:eastAsia="黑体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keepNext w:val="0"/>
        <w:keepLines w:val="0"/>
        <w:pageBreakBefore w:val="0"/>
        <w:widowControl w:val="0"/>
        <w:tabs>
          <w:tab w:val="left" w:pos="0"/>
          <w:tab w:val="left" w:pos="846"/>
          <w:tab w:val="left" w:pos="11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eastAsia="黑体"/>
          <w:sz w:val="28"/>
          <w:szCs w:val="28"/>
        </w:rPr>
      </w:pPr>
    </w:p>
    <w:tbl>
      <w:tblPr>
        <w:tblStyle w:val="2"/>
        <w:tblW w:w="9413" w:type="dxa"/>
        <w:jc w:val="center"/>
        <w:tblInd w:w="22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1710"/>
        <w:gridCol w:w="630"/>
        <w:gridCol w:w="5010"/>
        <w:gridCol w:w="134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类型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参数性质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/>
              </w:rPr>
              <w:t>要求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/>
              </w:rPr>
              <w:t>备注（证明材料等要求）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FF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  <w:t>★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合同签订后三个月内交付，交付地点由甲方指定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FF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  <w:t>★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服务完成验收后付100%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FF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质量保障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  <w:t>★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服务完成后3个月内重复性故障，提供免费换新服务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FF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质量控制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  <w:t>★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所更换的配件必须是原厂全新配件。如因更换配件（维修工程师误操作、配件质量问题等）导致设备故障扩大化，由投标人或实际服务机构承担责任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企业承诺</w:t>
            </w:r>
          </w:p>
        </w:tc>
      </w:tr>
    </w:tbl>
    <w:p>
      <w:pPr>
        <w:rPr>
          <w:rFonts w:hint="eastAsia"/>
        </w:rPr>
      </w:pPr>
    </w:p>
    <w:p>
      <w:pPr>
        <w:tabs>
          <w:tab w:val="left" w:pos="0"/>
          <w:tab w:val="left" w:pos="846"/>
          <w:tab w:val="left" w:pos="1122"/>
        </w:tabs>
        <w:spacing w:line="560" w:lineRule="exact"/>
        <w:ind w:firstLine="560"/>
        <w:outlineLvl w:val="2"/>
        <w:rPr>
          <w:rFonts w:eastAsia="黑体"/>
          <w:b/>
          <w:sz w:val="28"/>
          <w:szCs w:val="28"/>
        </w:rPr>
      </w:pPr>
      <w:bookmarkStart w:id="29" w:name="_Toc851"/>
      <w:bookmarkStart w:id="30" w:name="_Toc6548"/>
      <w:r>
        <w:rPr>
          <w:rFonts w:hint="eastAsia" w:eastAsia="黑体"/>
          <w:sz w:val="28"/>
          <w:szCs w:val="28"/>
        </w:rPr>
        <w:t>二、技术要求</w:t>
      </w:r>
      <w:bookmarkEnd w:id="29"/>
      <w:bookmarkEnd w:id="30"/>
    </w:p>
    <w:tbl>
      <w:tblPr>
        <w:tblStyle w:val="2"/>
        <w:tblW w:w="9413" w:type="dxa"/>
        <w:jc w:val="center"/>
        <w:tblInd w:w="22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1710"/>
        <w:gridCol w:w="645"/>
        <w:gridCol w:w="5010"/>
        <w:gridCol w:w="133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类型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参数性质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/>
              </w:rPr>
              <w:t>要求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eastAsia="zh-CN"/>
              </w:rPr>
              <w:t>备注（证明材料等要求）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FF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  <w:t>★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提供史赛克超声外科吸引系统的配件及维修服务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FF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工程师实力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  <w:t>★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投标人或实际服务机构拥有专业的技术支持团队≥3人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FF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服务企业要求1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  <w:t>★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投标人须为原厂或原厂合法医疗设备售后服务授权代理商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厂家资质或授权材料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FF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w w:val="9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服务企业要求2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  <w:t>★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投标人或实际服务机构应在北京市内设有长期稳定的服务机构≥2年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服务内容1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  <w:t>★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维修超声外科吸引系统主机1台，型号：UST-2001，性能达到新配件的质量标准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验收方法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bidi="ar"/>
              </w:rPr>
              <w:t>★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服务完成后，故障排除，正常运行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企业承诺</w:t>
            </w:r>
          </w:p>
        </w:tc>
      </w:tr>
    </w:tbl>
    <w:p>
      <w:pPr>
        <w:ind w:left="0" w:leftChars="0" w:firstLine="0" w:firstLineChars="0"/>
        <w:rPr>
          <w:rFonts w:hint="eastAsia"/>
          <w:lang w:val="zh-CN"/>
        </w:rPr>
      </w:pPr>
    </w:p>
    <w:p>
      <w:r>
        <w:rPr>
          <w:rFonts w:hint="eastAsia"/>
          <w:lang w:val="zh-CN"/>
        </w:rPr>
        <w:t>说明：投标供应商必须按备注提供证明材料。</w:t>
      </w:r>
      <w:bookmarkStart w:id="31" w:name="_GoBack"/>
      <w:bookmarkEnd w:id="3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4B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0"/>
    <w:pPr>
      <w:ind w:firstLine="420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2026-06-29T00:12:17Z</dcterms:created>
  <dc:creator>Lenovo</dc:creator>
  <cp:lastModifiedBy>Lenovo</cp:lastModifiedBy>
  <dcterms:modified xsi:type="dcterms:W3CDTF">2026-06-29T00:12:29Z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