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80"/>
        <w:jc w:val="center"/>
        <w:rPr>
          <w:rFonts w:hint="eastAsia"/>
          <w:lang w:eastAsia="zh-CN"/>
        </w:rPr>
      </w:pPr>
      <w:r>
        <w:rPr>
          <w:sz w:val="40"/>
          <w:lang w:eastAsia="zh-CN"/>
        </w:rPr>
        <w:t>采购需求表（物资类)</w:t>
      </w:r>
    </w:p>
    <w:tbl>
      <w:tblPr>
        <w:tblStyle w:val="35"/>
        <w:tblW w:w="100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1377"/>
        <w:gridCol w:w="886"/>
        <w:gridCol w:w="1261"/>
        <w:gridCol w:w="1948"/>
        <w:gridCol w:w="1192"/>
        <w:gridCol w:w="955"/>
        <w:gridCol w:w="1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exact"/>
          <w:jc w:val="center"/>
        </w:trPr>
        <w:tc>
          <w:tcPr>
            <w:tcW w:w="4126" w:type="dxa"/>
            <w:gridSpan w:val="4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项目名称</w:t>
            </w:r>
          </w:p>
        </w:tc>
        <w:tc>
          <w:tcPr>
            <w:tcW w:w="1948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激光粒度分析仪</w:t>
            </w: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最高限价</w:t>
            </w:r>
            <w:r>
              <w:rPr>
                <w:sz w:val="20"/>
                <w:szCs w:val="20"/>
              </w:rPr>
              <w:br w:type="textWrapping"/>
            </w:r>
            <w:r>
              <w:rPr>
                <w:sz w:val="20"/>
                <w:szCs w:val="20"/>
              </w:rPr>
              <w:t>(万元)</w:t>
            </w:r>
          </w:p>
        </w:tc>
        <w:tc>
          <w:tcPr>
            <w:tcW w:w="2804" w:type="dxa"/>
            <w:gridSpan w:val="2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45万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2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序号</w:t>
            </w:r>
          </w:p>
        </w:tc>
        <w:tc>
          <w:tcPr>
            <w:tcW w:w="1377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需求名称</w:t>
            </w:r>
          </w:p>
        </w:tc>
        <w:tc>
          <w:tcPr>
            <w:tcW w:w="886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参数</w:t>
            </w:r>
            <w:r>
              <w:rPr>
                <w:sz w:val="20"/>
                <w:szCs w:val="20"/>
              </w:rPr>
              <w:br w:type="textWrapping"/>
            </w:r>
            <w:r>
              <w:rPr>
                <w:sz w:val="20"/>
                <w:szCs w:val="20"/>
              </w:rPr>
              <w:t>性质</w:t>
            </w:r>
          </w:p>
        </w:tc>
        <w:tc>
          <w:tcPr>
            <w:tcW w:w="4401" w:type="dxa"/>
            <w:gridSpan w:val="3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需求具体内容</w:t>
            </w:r>
          </w:p>
        </w:tc>
        <w:tc>
          <w:tcPr>
            <w:tcW w:w="955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是否</w:t>
            </w:r>
            <w:r>
              <w:rPr>
                <w:sz w:val="20"/>
                <w:szCs w:val="20"/>
              </w:rPr>
              <w:br w:type="textWrapping"/>
            </w:r>
            <w:r>
              <w:rPr>
                <w:sz w:val="20"/>
                <w:szCs w:val="20"/>
              </w:rPr>
              <w:t>量化</w:t>
            </w:r>
          </w:p>
        </w:tc>
        <w:tc>
          <w:tcPr>
            <w:tcW w:w="1849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备注(证明材料等其他要求)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0070" w:type="dxa"/>
            <w:gridSpan w:val="8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技术要求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2" w:type="dxa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77" w:type="dxa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基本要求</w:t>
            </w:r>
          </w:p>
        </w:tc>
        <w:tc>
          <w:tcPr>
            <w:tcW w:w="886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★</w:t>
            </w:r>
          </w:p>
        </w:tc>
        <w:tc>
          <w:tcPr>
            <w:tcW w:w="4401" w:type="dxa"/>
            <w:gridSpan w:val="3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适用于纳米材料，</w:t>
            </w:r>
            <w:r>
              <w:rPr>
                <w:rFonts w:hint="eastAsia" w:cs="Times New Roman"/>
                <w:sz w:val="20"/>
                <w:szCs w:val="20"/>
                <w:lang w:eastAsia="zh-CN"/>
              </w:rPr>
              <w:t>如</w:t>
            </w:r>
            <w:r>
              <w:rPr>
                <w:rFonts w:cs="Times New Roman"/>
                <w:sz w:val="20"/>
                <w:szCs w:val="20"/>
                <w:lang w:eastAsia="zh-CN"/>
              </w:rPr>
              <w:t>乳液，悬浮液，蛋白质等样品的粒度、Zeta电位及分子量的测量</w:t>
            </w:r>
          </w:p>
        </w:tc>
        <w:tc>
          <w:tcPr>
            <w:tcW w:w="955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否</w:t>
            </w:r>
          </w:p>
        </w:tc>
        <w:tc>
          <w:tcPr>
            <w:tcW w:w="1849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彩页或技术白皮书或说明书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602" w:type="dxa"/>
            <w:vMerge w:val="restart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77" w:type="dxa"/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标准规范</w:t>
            </w:r>
          </w:p>
        </w:tc>
        <w:tc>
          <w:tcPr>
            <w:tcW w:w="886" w:type="dxa"/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★</w:t>
            </w:r>
          </w:p>
        </w:tc>
        <w:tc>
          <w:tcPr>
            <w:tcW w:w="4401" w:type="dxa"/>
            <w:gridSpan w:val="3"/>
            <w:vMerge w:val="restart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  <w:highlight w:val="yellow"/>
                <w:lang w:eastAsia="zh-CN"/>
              </w:rPr>
            </w:pPr>
            <w:r>
              <w:rPr>
                <w:sz w:val="20"/>
                <w:szCs w:val="20"/>
                <w:highlight w:val="none"/>
                <w:lang w:eastAsia="zh-CN"/>
              </w:rPr>
              <w:t>应当</w:t>
            </w:r>
            <w:r>
              <w:rPr>
                <w:rFonts w:hint="eastAsia"/>
                <w:sz w:val="20"/>
                <w:szCs w:val="20"/>
                <w:highlight w:val="none"/>
                <w:lang w:eastAsia="zh-CN"/>
              </w:rPr>
              <w:t>有</w:t>
            </w:r>
            <w:r>
              <w:rPr>
                <w:sz w:val="20"/>
                <w:szCs w:val="20"/>
                <w:highlight w:val="none"/>
                <w:lang w:eastAsia="zh-CN"/>
              </w:rPr>
              <w:t>CE官方认证</w:t>
            </w:r>
          </w:p>
        </w:tc>
        <w:tc>
          <w:tcPr>
            <w:tcW w:w="955" w:type="dxa"/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否</w:t>
            </w:r>
          </w:p>
        </w:tc>
        <w:tc>
          <w:tcPr>
            <w:tcW w:w="1849" w:type="dxa"/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认证证书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02" w:type="dxa"/>
            <w:vMerge w:val="continue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1377" w:type="dxa"/>
            <w:vMerge w:val="continue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886" w:type="dxa"/>
            <w:vMerge w:val="continue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4401" w:type="dxa"/>
            <w:gridSpan w:val="3"/>
            <w:vMerge w:val="continue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955" w:type="dxa"/>
            <w:vMerge w:val="continue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1849" w:type="dxa"/>
            <w:vMerge w:val="continue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602" w:type="dxa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377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主机硬件</w:t>
            </w:r>
          </w:p>
        </w:tc>
        <w:tc>
          <w:tcPr>
            <w:tcW w:w="886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4401" w:type="dxa"/>
            <w:gridSpan w:val="3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  <w:highlight w:val="yellow"/>
                <w:lang w:eastAsia="zh-CN"/>
              </w:rPr>
            </w:pPr>
            <w:r>
              <w:rPr>
                <w:sz w:val="20"/>
                <w:szCs w:val="20"/>
                <w:highlight w:val="none"/>
                <w:lang w:eastAsia="zh-CN"/>
              </w:rPr>
              <w:t>设备包含</w:t>
            </w:r>
            <w:bookmarkStart w:id="0" w:name="OLE_LINK1"/>
            <w:r>
              <w:rPr>
                <w:sz w:val="20"/>
                <w:szCs w:val="20"/>
                <w:highlight w:val="none"/>
                <w:lang w:eastAsia="zh-CN"/>
              </w:rPr>
              <w:t>激光器，检测器</w:t>
            </w:r>
            <w:bookmarkEnd w:id="0"/>
            <w:r>
              <w:rPr>
                <w:sz w:val="20"/>
                <w:szCs w:val="20"/>
                <w:highlight w:val="none"/>
                <w:lang w:eastAsia="zh-CN"/>
              </w:rPr>
              <w:t>，光路等必要硬件</w:t>
            </w:r>
          </w:p>
        </w:tc>
        <w:tc>
          <w:tcPr>
            <w:tcW w:w="955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否</w:t>
            </w:r>
          </w:p>
        </w:tc>
        <w:tc>
          <w:tcPr>
            <w:tcW w:w="1849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602" w:type="dxa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lang w:eastAsia="zh-CN"/>
              </w:rPr>
              <w:t>3.1</w:t>
            </w:r>
          </w:p>
        </w:tc>
        <w:tc>
          <w:tcPr>
            <w:tcW w:w="1377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>激光器</w:t>
            </w:r>
          </w:p>
        </w:tc>
        <w:tc>
          <w:tcPr>
            <w:tcW w:w="886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4401" w:type="dxa"/>
            <w:gridSpan w:val="3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  <w:highlight w:val="none"/>
                <w:lang w:eastAsia="zh-CN"/>
              </w:rPr>
            </w:pPr>
            <w:r>
              <w:rPr>
                <w:sz w:val="20"/>
                <w:szCs w:val="20"/>
                <w:highlight w:val="none"/>
                <w:lang w:eastAsia="zh-CN"/>
              </w:rPr>
              <w:t>采</w:t>
            </w:r>
            <w:bookmarkStart w:id="2" w:name="_GoBack"/>
            <w:bookmarkEnd w:id="2"/>
            <w:r>
              <w:rPr>
                <w:sz w:val="20"/>
                <w:szCs w:val="20"/>
                <w:highlight w:val="none"/>
                <w:lang w:eastAsia="zh-CN"/>
              </w:rPr>
              <w:t>用</w:t>
            </w:r>
            <w:r>
              <w:rPr>
                <w:rFonts w:hint="eastAsia"/>
                <w:sz w:val="20"/>
                <w:szCs w:val="20"/>
                <w:highlight w:val="none"/>
                <w:lang w:eastAsia="zh-CN"/>
              </w:rPr>
              <w:t>固体或</w:t>
            </w:r>
            <w:r>
              <w:rPr>
                <w:sz w:val="20"/>
                <w:szCs w:val="20"/>
                <w:highlight w:val="none"/>
                <w:lang w:eastAsia="zh-CN"/>
              </w:rPr>
              <w:t>气体激光器</w:t>
            </w:r>
          </w:p>
        </w:tc>
        <w:tc>
          <w:tcPr>
            <w:tcW w:w="955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849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highlight w:val="none"/>
                <w:lang w:eastAsia="zh-CN"/>
              </w:rPr>
            </w:pPr>
            <w:r>
              <w:rPr>
                <w:sz w:val="20"/>
                <w:szCs w:val="20"/>
                <w:highlight w:val="none"/>
                <w:lang w:eastAsia="zh-CN"/>
              </w:rPr>
              <w:t>彩页或技术白皮书或说明书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602" w:type="dxa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3.2</w:t>
            </w:r>
          </w:p>
        </w:tc>
        <w:tc>
          <w:tcPr>
            <w:tcW w:w="1377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检测器</w:t>
            </w:r>
          </w:p>
        </w:tc>
        <w:tc>
          <w:tcPr>
            <w:tcW w:w="886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▲</w:t>
            </w:r>
          </w:p>
        </w:tc>
        <w:tc>
          <w:tcPr>
            <w:tcW w:w="4401" w:type="dxa"/>
            <w:gridSpan w:val="3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高性能光电二极管APD检测器</w:t>
            </w:r>
          </w:p>
        </w:tc>
        <w:tc>
          <w:tcPr>
            <w:tcW w:w="955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否</w:t>
            </w:r>
          </w:p>
        </w:tc>
        <w:tc>
          <w:tcPr>
            <w:tcW w:w="1849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彩页或技术白皮书或说明书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2" w:type="dxa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3.3</w:t>
            </w:r>
          </w:p>
        </w:tc>
        <w:tc>
          <w:tcPr>
            <w:tcW w:w="1377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控温范围</w:t>
            </w:r>
          </w:p>
        </w:tc>
        <w:tc>
          <w:tcPr>
            <w:tcW w:w="886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▲</w:t>
            </w:r>
          </w:p>
        </w:tc>
        <w:tc>
          <w:tcPr>
            <w:tcW w:w="4401" w:type="dxa"/>
            <w:gridSpan w:val="3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温度控制范围及精度：0-120℃，可进行粒度和电位随温度/时间趋势测量，生成趋势报告</w:t>
            </w:r>
            <w:r>
              <w:rPr>
                <w:rFonts w:hint="eastAsia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955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否</w:t>
            </w:r>
          </w:p>
        </w:tc>
        <w:tc>
          <w:tcPr>
            <w:tcW w:w="1849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彩页或技术白皮书或说明书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2" w:type="dxa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3.4</w:t>
            </w:r>
          </w:p>
        </w:tc>
        <w:tc>
          <w:tcPr>
            <w:tcW w:w="1377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滤光片</w:t>
            </w:r>
          </w:p>
        </w:tc>
        <w:tc>
          <w:tcPr>
            <w:tcW w:w="886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▲</w:t>
            </w:r>
          </w:p>
        </w:tc>
        <w:tc>
          <w:tcPr>
            <w:tcW w:w="4401" w:type="dxa"/>
            <w:gridSpan w:val="3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激光衰减在软件界面上应能快速进行设定，可自动选择衰减器。</w:t>
            </w:r>
          </w:p>
        </w:tc>
        <w:tc>
          <w:tcPr>
            <w:tcW w:w="955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否</w:t>
            </w:r>
          </w:p>
        </w:tc>
        <w:tc>
          <w:tcPr>
            <w:tcW w:w="1849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彩页或技术白皮书或说明书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2" w:type="dxa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377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纳米粒度测试功能</w:t>
            </w:r>
          </w:p>
        </w:tc>
        <w:tc>
          <w:tcPr>
            <w:tcW w:w="886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  <w:bookmarkStart w:id="1" w:name="OLE_LINK2"/>
            <w:r>
              <w:rPr>
                <w:rFonts w:hint="eastAsia"/>
                <w:sz w:val="20"/>
                <w:szCs w:val="20"/>
              </w:rPr>
              <w:t>★</w:t>
            </w:r>
            <w:bookmarkEnd w:id="1"/>
          </w:p>
        </w:tc>
        <w:tc>
          <w:tcPr>
            <w:tcW w:w="4401" w:type="dxa"/>
            <w:gridSpan w:val="3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粒度测量范围：0.3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nm-15</w:t>
            </w:r>
            <w:r>
              <w:rPr>
                <w:rFonts w:hint="eastAsia"/>
                <w:sz w:val="20"/>
                <w:szCs w:val="20"/>
                <w:lang w:eastAsia="zh-CN"/>
              </w:rPr>
              <w:t>μ</w:t>
            </w:r>
            <w:r>
              <w:rPr>
                <w:sz w:val="20"/>
                <w:szCs w:val="20"/>
                <w:lang w:eastAsia="zh-CN"/>
              </w:rPr>
              <w:t xml:space="preserve">m  </w:t>
            </w:r>
          </w:p>
        </w:tc>
        <w:tc>
          <w:tcPr>
            <w:tcW w:w="955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否</w:t>
            </w:r>
          </w:p>
        </w:tc>
        <w:tc>
          <w:tcPr>
            <w:tcW w:w="1849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彩页或技术白皮书或说明书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4.1</w:t>
            </w:r>
          </w:p>
        </w:tc>
        <w:tc>
          <w:tcPr>
            <w:tcW w:w="1377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测量</w:t>
            </w:r>
            <w:r>
              <w:rPr>
                <w:rFonts w:hint="eastAsia"/>
                <w:sz w:val="20"/>
                <w:szCs w:val="20"/>
                <w:lang w:eastAsia="zh-CN"/>
              </w:rPr>
              <w:t>角度</w:t>
            </w:r>
          </w:p>
        </w:tc>
        <w:tc>
          <w:tcPr>
            <w:tcW w:w="88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★</w:t>
            </w:r>
          </w:p>
        </w:tc>
        <w:tc>
          <w:tcPr>
            <w:tcW w:w="4401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粒径测量</w:t>
            </w:r>
            <w:r>
              <w:rPr>
                <w:sz w:val="20"/>
                <w:szCs w:val="20"/>
                <w:lang w:eastAsia="zh-CN"/>
              </w:rPr>
              <w:t>角度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:</w:t>
            </w: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>≥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3</w:t>
            </w:r>
            <w:r>
              <w:rPr>
                <w:sz w:val="20"/>
                <w:szCs w:val="20"/>
                <w:lang w:eastAsia="zh-CN"/>
              </w:rPr>
              <w:t>个测量角度</w:t>
            </w:r>
          </w:p>
        </w:tc>
        <w:tc>
          <w:tcPr>
            <w:tcW w:w="95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否</w:t>
            </w:r>
          </w:p>
        </w:tc>
        <w:tc>
          <w:tcPr>
            <w:tcW w:w="184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彩页或技术白皮书或说明书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4.2</w:t>
            </w:r>
          </w:p>
        </w:tc>
        <w:tc>
          <w:tcPr>
            <w:tcW w:w="1377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测量模式</w:t>
            </w:r>
          </w:p>
        </w:tc>
        <w:tc>
          <w:tcPr>
            <w:tcW w:w="88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▲</w:t>
            </w:r>
          </w:p>
        </w:tc>
        <w:tc>
          <w:tcPr>
            <w:tcW w:w="4401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能够多角度联合测定粒度</w:t>
            </w:r>
          </w:p>
        </w:tc>
        <w:tc>
          <w:tcPr>
            <w:tcW w:w="95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否</w:t>
            </w:r>
          </w:p>
        </w:tc>
        <w:tc>
          <w:tcPr>
            <w:tcW w:w="184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彩页或技术白皮书或说明书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2" w:type="dxa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4.3</w:t>
            </w:r>
          </w:p>
        </w:tc>
        <w:tc>
          <w:tcPr>
            <w:tcW w:w="1377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测试样品透光率功能</w:t>
            </w:r>
          </w:p>
        </w:tc>
        <w:tc>
          <w:tcPr>
            <w:tcW w:w="886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▲</w:t>
            </w:r>
          </w:p>
        </w:tc>
        <w:tc>
          <w:tcPr>
            <w:tcW w:w="4401" w:type="dxa"/>
            <w:gridSpan w:val="3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测量主机具有独立测试样品透光率功能</w:t>
            </w:r>
          </w:p>
        </w:tc>
        <w:tc>
          <w:tcPr>
            <w:tcW w:w="955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否</w:t>
            </w:r>
          </w:p>
        </w:tc>
        <w:tc>
          <w:tcPr>
            <w:tcW w:w="1849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彩页或技术白皮书或说明书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02" w:type="dxa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4.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377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最小样品量</w:t>
            </w:r>
          </w:p>
        </w:tc>
        <w:tc>
          <w:tcPr>
            <w:tcW w:w="886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▲</w:t>
            </w:r>
          </w:p>
        </w:tc>
        <w:tc>
          <w:tcPr>
            <w:tcW w:w="4401" w:type="dxa"/>
            <w:gridSpan w:val="3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粒径测量最小样品</w:t>
            </w:r>
            <w:r>
              <w:rPr>
                <w:sz w:val="20"/>
                <w:szCs w:val="20"/>
                <w:lang w:eastAsia="zh-CN"/>
              </w:rPr>
              <w:t>≤ 3</w:t>
            </w:r>
            <w:r>
              <w:rPr>
                <w:sz w:val="20"/>
                <w:szCs w:val="20"/>
              </w:rPr>
              <w:t>μ</w:t>
            </w:r>
            <w:r>
              <w:rPr>
                <w:sz w:val="20"/>
                <w:szCs w:val="20"/>
                <w:lang w:eastAsia="zh-CN"/>
              </w:rPr>
              <w:t>L</w:t>
            </w:r>
          </w:p>
        </w:tc>
        <w:tc>
          <w:tcPr>
            <w:tcW w:w="955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是</w:t>
            </w:r>
          </w:p>
        </w:tc>
        <w:tc>
          <w:tcPr>
            <w:tcW w:w="1849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彩页或技术白皮书或说明书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2" w:type="dxa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377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Zeta电位测量</w:t>
            </w:r>
          </w:p>
        </w:tc>
        <w:tc>
          <w:tcPr>
            <w:tcW w:w="886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01" w:type="dxa"/>
            <w:gridSpan w:val="3"/>
            <w:vAlign w:val="center"/>
          </w:tcPr>
          <w:p>
            <w:pPr>
              <w:spacing w:after="0" w:line="240" w:lineRule="auto"/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电位</w:t>
            </w:r>
            <w:r>
              <w:rPr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测量范围：</w:t>
            </w: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-1000mV-+1000mV</w:t>
            </w:r>
          </w:p>
        </w:tc>
        <w:tc>
          <w:tcPr>
            <w:tcW w:w="955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849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彩页或技术白皮书或说明书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2" w:type="dxa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5.1</w:t>
            </w:r>
          </w:p>
        </w:tc>
        <w:tc>
          <w:tcPr>
            <w:tcW w:w="1377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颗粒尺寸范围</w:t>
            </w:r>
          </w:p>
        </w:tc>
        <w:tc>
          <w:tcPr>
            <w:tcW w:w="886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4401" w:type="dxa"/>
            <w:gridSpan w:val="3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3.8nm至100μm</w:t>
            </w:r>
          </w:p>
        </w:tc>
        <w:tc>
          <w:tcPr>
            <w:tcW w:w="955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否</w:t>
            </w:r>
          </w:p>
        </w:tc>
        <w:tc>
          <w:tcPr>
            <w:tcW w:w="1849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彩页或技术白皮书或说明书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2" w:type="dxa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5.2</w:t>
            </w:r>
          </w:p>
        </w:tc>
        <w:tc>
          <w:tcPr>
            <w:tcW w:w="1377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蛋白保护功能</w:t>
            </w:r>
          </w:p>
        </w:tc>
        <w:tc>
          <w:tcPr>
            <w:tcW w:w="886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▲</w:t>
            </w:r>
          </w:p>
        </w:tc>
        <w:tc>
          <w:tcPr>
            <w:tcW w:w="4401" w:type="dxa"/>
            <w:gridSpan w:val="3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具有蛋白保护模式</w:t>
            </w:r>
          </w:p>
        </w:tc>
        <w:tc>
          <w:tcPr>
            <w:tcW w:w="955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否</w:t>
            </w:r>
          </w:p>
        </w:tc>
        <w:tc>
          <w:tcPr>
            <w:tcW w:w="1849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彩页或技术白皮书或说明书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2" w:type="dxa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5.3</w:t>
            </w:r>
          </w:p>
        </w:tc>
        <w:tc>
          <w:tcPr>
            <w:tcW w:w="1377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测试方法</w:t>
            </w:r>
          </w:p>
        </w:tc>
        <w:tc>
          <w:tcPr>
            <w:tcW w:w="886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▲</w:t>
            </w:r>
          </w:p>
        </w:tc>
        <w:tc>
          <w:tcPr>
            <w:tcW w:w="4401" w:type="dxa"/>
            <w:gridSpan w:val="3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采用混合模式测量，即高频电场和低频电场，应在软件界面上显示施加的相位图</w:t>
            </w:r>
          </w:p>
        </w:tc>
        <w:tc>
          <w:tcPr>
            <w:tcW w:w="955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否</w:t>
            </w:r>
          </w:p>
        </w:tc>
        <w:tc>
          <w:tcPr>
            <w:tcW w:w="1849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彩页或技术白皮书或说明书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2" w:type="dxa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5.4</w:t>
            </w:r>
          </w:p>
        </w:tc>
        <w:tc>
          <w:tcPr>
            <w:tcW w:w="1377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测量模式</w:t>
            </w:r>
          </w:p>
        </w:tc>
        <w:tc>
          <w:tcPr>
            <w:tcW w:w="886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4401" w:type="dxa"/>
            <w:gridSpan w:val="3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采用恒流模式，避免电极氧化带来的影响，应在软件界面上显示施加的电压和电流图</w:t>
            </w:r>
          </w:p>
        </w:tc>
        <w:tc>
          <w:tcPr>
            <w:tcW w:w="955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否</w:t>
            </w:r>
          </w:p>
        </w:tc>
        <w:tc>
          <w:tcPr>
            <w:tcW w:w="1849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彩页或技术白皮书或说明书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602" w:type="dxa"/>
            <w:vAlign w:val="center"/>
          </w:tcPr>
          <w:p>
            <w:pPr>
              <w:spacing w:after="0" w:line="240" w:lineRule="auto"/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5.5</w:t>
            </w:r>
          </w:p>
        </w:tc>
        <w:tc>
          <w:tcPr>
            <w:tcW w:w="1377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最小样品量</w:t>
            </w:r>
          </w:p>
        </w:tc>
        <w:tc>
          <w:tcPr>
            <w:tcW w:w="886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▲</w:t>
            </w:r>
          </w:p>
        </w:tc>
        <w:tc>
          <w:tcPr>
            <w:tcW w:w="4401" w:type="dxa"/>
            <w:gridSpan w:val="3"/>
            <w:vAlign w:val="center"/>
          </w:tcPr>
          <w:p>
            <w:pPr>
              <w:spacing w:after="0" w:line="240" w:lineRule="auto"/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Zeta电位测量最小样品量≤ 3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μ</w:t>
            </w: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955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849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彩页或技术白皮书或说明书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exact"/>
          <w:jc w:val="center"/>
        </w:trPr>
        <w:tc>
          <w:tcPr>
            <w:tcW w:w="602" w:type="dxa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5.6</w:t>
            </w:r>
          </w:p>
        </w:tc>
        <w:tc>
          <w:tcPr>
            <w:tcW w:w="1377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电导率</w:t>
            </w:r>
          </w:p>
        </w:tc>
        <w:tc>
          <w:tcPr>
            <w:tcW w:w="886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4401" w:type="dxa"/>
            <w:gridSpan w:val="3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0-2</w:t>
            </w:r>
            <w:r>
              <w:rPr>
                <w:rFonts w:hint="eastAsia"/>
                <w:sz w:val="20"/>
                <w:szCs w:val="20"/>
                <w:lang w:eastAsia="zh-CN"/>
              </w:rPr>
              <w:t>0</w:t>
            </w:r>
            <w:r>
              <w:rPr>
                <w:rFonts w:hint="eastAsia"/>
                <w:sz w:val="20"/>
                <w:szCs w:val="20"/>
              </w:rPr>
              <w:t>0mS/cm</w:t>
            </w:r>
          </w:p>
        </w:tc>
        <w:tc>
          <w:tcPr>
            <w:tcW w:w="955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否</w:t>
            </w:r>
          </w:p>
        </w:tc>
        <w:tc>
          <w:tcPr>
            <w:tcW w:w="1849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彩页或技术白皮书或说明书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2" w:type="dxa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5.7</w:t>
            </w:r>
          </w:p>
        </w:tc>
        <w:tc>
          <w:tcPr>
            <w:tcW w:w="1377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电压范围</w:t>
            </w:r>
          </w:p>
        </w:tc>
        <w:tc>
          <w:tcPr>
            <w:tcW w:w="886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4401" w:type="dxa"/>
            <w:gridSpan w:val="3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电压应可在软件界面上选择自动设定，也可选择手动设定。</w:t>
            </w:r>
          </w:p>
        </w:tc>
        <w:tc>
          <w:tcPr>
            <w:tcW w:w="955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否</w:t>
            </w:r>
          </w:p>
        </w:tc>
        <w:tc>
          <w:tcPr>
            <w:tcW w:w="1849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5.8</w:t>
            </w:r>
          </w:p>
        </w:tc>
        <w:tc>
          <w:tcPr>
            <w:tcW w:w="1377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测量测试</w:t>
            </w:r>
          </w:p>
        </w:tc>
        <w:tc>
          <w:tcPr>
            <w:tcW w:w="88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4401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可自动选择测量次数，也可手动选择测量次数。</w:t>
            </w:r>
          </w:p>
        </w:tc>
        <w:tc>
          <w:tcPr>
            <w:tcW w:w="95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否</w:t>
            </w:r>
          </w:p>
        </w:tc>
        <w:tc>
          <w:tcPr>
            <w:tcW w:w="184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02" w:type="dxa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5.9</w:t>
            </w:r>
          </w:p>
        </w:tc>
        <w:tc>
          <w:tcPr>
            <w:tcW w:w="1377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测试样品池</w:t>
            </w:r>
          </w:p>
        </w:tc>
        <w:tc>
          <w:tcPr>
            <w:tcW w:w="886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4401" w:type="dxa"/>
            <w:gridSpan w:val="3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至少配备两种以上样品池</w:t>
            </w:r>
          </w:p>
        </w:tc>
        <w:tc>
          <w:tcPr>
            <w:tcW w:w="955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是</w:t>
            </w:r>
          </w:p>
        </w:tc>
        <w:tc>
          <w:tcPr>
            <w:tcW w:w="1849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3" w:hRule="exact"/>
          <w:jc w:val="center"/>
        </w:trPr>
        <w:tc>
          <w:tcPr>
            <w:tcW w:w="602" w:type="dxa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1377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配置要求</w:t>
            </w:r>
          </w:p>
        </w:tc>
        <w:tc>
          <w:tcPr>
            <w:tcW w:w="886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★</w:t>
            </w:r>
          </w:p>
        </w:tc>
        <w:tc>
          <w:tcPr>
            <w:tcW w:w="4401" w:type="dxa"/>
            <w:gridSpan w:val="3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基本配置：</w:t>
            </w:r>
          </w:p>
          <w:p>
            <w:pPr>
              <w:pStyle w:val="146"/>
              <w:numPr>
                <w:ilvl w:val="0"/>
                <w:numId w:val="7"/>
              </w:num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主机一台，包含：</w:t>
            </w:r>
            <w:r>
              <w:rPr>
                <w:sz w:val="20"/>
                <w:szCs w:val="20"/>
                <w:lang w:eastAsia="zh-CN"/>
              </w:rPr>
              <w:t>激光器，检测器</w:t>
            </w:r>
            <w:r>
              <w:rPr>
                <w:rFonts w:hint="eastAsia"/>
                <w:sz w:val="20"/>
                <w:szCs w:val="20"/>
                <w:lang w:eastAsia="zh-CN"/>
              </w:rPr>
              <w:t>，光路，控温系统等。</w:t>
            </w:r>
          </w:p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2.</w:t>
            </w:r>
            <w:r>
              <w:rPr>
                <w:sz w:val="20"/>
                <w:szCs w:val="20"/>
                <w:lang w:eastAsia="zh-CN"/>
              </w:rPr>
              <w:t>粒度电位测试模块1套</w:t>
            </w:r>
            <w:r>
              <w:rPr>
                <w:rFonts w:hint="eastAsia"/>
                <w:sz w:val="20"/>
                <w:szCs w:val="20"/>
                <w:lang w:eastAsia="zh-CN"/>
              </w:rPr>
              <w:t>。</w:t>
            </w:r>
          </w:p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3.数据采集处理系统，包含国产电脑1台，可满足仪器功能需求，硬盘2TB及以上，内存32GB及以上，处理器inteli7及以上，显示器23英寸。</w:t>
            </w:r>
          </w:p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4.</w:t>
            </w:r>
            <w:r>
              <w:rPr>
                <w:sz w:val="20"/>
                <w:szCs w:val="20"/>
                <w:lang w:eastAsia="zh-CN"/>
              </w:rPr>
              <w:t>中文操作系统，具备SOP标准操作规程；支持Windows10以上的操作系统</w:t>
            </w:r>
            <w:r>
              <w:rPr>
                <w:rFonts w:hint="eastAsia"/>
                <w:sz w:val="20"/>
                <w:szCs w:val="20"/>
                <w:lang w:eastAsia="zh-CN"/>
              </w:rPr>
              <w:t>。软件界面有质量指示图标，直观显示数据质量的好坏。</w:t>
            </w:r>
          </w:p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5. Zeta电位标准样品1套</w:t>
            </w:r>
          </w:p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6. PS样品池200</w:t>
            </w:r>
          </w:p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7.电位测量样品池20个</w:t>
            </w:r>
          </w:p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8.</w:t>
            </w:r>
            <w:r>
              <w:rPr>
                <w:rFonts w:hint="eastAsia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安装工具包1个</w:t>
            </w:r>
          </w:p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955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否</w:t>
            </w:r>
          </w:p>
        </w:tc>
        <w:tc>
          <w:tcPr>
            <w:tcW w:w="1849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0070" w:type="dxa"/>
            <w:gridSpan w:val="8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经济要求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02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1377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交货时间交货地点</w:t>
            </w:r>
          </w:p>
        </w:tc>
        <w:tc>
          <w:tcPr>
            <w:tcW w:w="886" w:type="dxa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★</w:t>
            </w:r>
          </w:p>
        </w:tc>
        <w:tc>
          <w:tcPr>
            <w:tcW w:w="4401" w:type="dxa"/>
            <w:gridSpan w:val="3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合同签订后30个自然日内交付，交货地点由甲方指定</w:t>
            </w:r>
          </w:p>
        </w:tc>
        <w:tc>
          <w:tcPr>
            <w:tcW w:w="955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1849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02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377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付款及结算方式</w:t>
            </w:r>
          </w:p>
        </w:tc>
        <w:tc>
          <w:tcPr>
            <w:tcW w:w="886" w:type="dxa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★</w:t>
            </w:r>
          </w:p>
        </w:tc>
        <w:tc>
          <w:tcPr>
            <w:tcW w:w="4401" w:type="dxa"/>
            <w:gridSpan w:val="3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签订合同付（预付）30%，物资到货（服务完成）验收后付65%</w:t>
            </w:r>
          </w:p>
        </w:tc>
        <w:tc>
          <w:tcPr>
            <w:tcW w:w="955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1849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exact"/>
          <w:jc w:val="center"/>
        </w:trPr>
        <w:tc>
          <w:tcPr>
            <w:tcW w:w="602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377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履约保证金/质量保证金</w:t>
            </w:r>
          </w:p>
        </w:tc>
        <w:tc>
          <w:tcPr>
            <w:tcW w:w="886" w:type="dxa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★</w:t>
            </w:r>
          </w:p>
        </w:tc>
        <w:tc>
          <w:tcPr>
            <w:tcW w:w="4401" w:type="dxa"/>
            <w:gridSpan w:val="3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验收合格后满</w:t>
            </w:r>
            <w:r>
              <w:rPr>
                <w:rFonts w:hint="eastAsia"/>
                <w:sz w:val="20"/>
                <w:szCs w:val="20"/>
                <w:lang w:eastAsia="zh-CN"/>
              </w:rPr>
              <w:t>1</w:t>
            </w:r>
            <w:r>
              <w:rPr>
                <w:sz w:val="20"/>
                <w:szCs w:val="20"/>
                <w:lang w:eastAsia="zh-CN"/>
              </w:rPr>
              <w:t>年无质量问题支付剩余5%</w:t>
            </w:r>
          </w:p>
        </w:tc>
        <w:tc>
          <w:tcPr>
            <w:tcW w:w="955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1849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exact"/>
          <w:jc w:val="center"/>
        </w:trPr>
        <w:tc>
          <w:tcPr>
            <w:tcW w:w="602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377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产品包</w:t>
            </w:r>
            <w:r>
              <w:rPr>
                <w:rFonts w:hint="eastAsia"/>
                <w:sz w:val="20"/>
                <w:szCs w:val="20"/>
                <w:lang w:eastAsia="zh-CN"/>
              </w:rPr>
              <w:t>装</w:t>
            </w:r>
            <w:r>
              <w:rPr>
                <w:sz w:val="20"/>
                <w:szCs w:val="20"/>
                <w:lang w:eastAsia="zh-CN"/>
              </w:rPr>
              <w:t>和运输要求</w:t>
            </w:r>
          </w:p>
        </w:tc>
        <w:tc>
          <w:tcPr>
            <w:tcW w:w="886" w:type="dxa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★</w:t>
            </w:r>
          </w:p>
        </w:tc>
        <w:tc>
          <w:tcPr>
            <w:tcW w:w="4401" w:type="dxa"/>
            <w:gridSpan w:val="3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按照国家，行业相关标准规范，产品确保包装完好，运输确保不对产品造成损伤</w:t>
            </w:r>
          </w:p>
        </w:tc>
        <w:tc>
          <w:tcPr>
            <w:tcW w:w="955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1849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02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377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售后服务</w:t>
            </w:r>
          </w:p>
        </w:tc>
        <w:tc>
          <w:tcPr>
            <w:tcW w:w="886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★</w:t>
            </w:r>
          </w:p>
        </w:tc>
        <w:tc>
          <w:tcPr>
            <w:tcW w:w="4401" w:type="dxa"/>
            <w:gridSpan w:val="3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保修年限不低于</w:t>
            </w:r>
            <w:r>
              <w:rPr>
                <w:rFonts w:hint="eastAsia"/>
                <w:sz w:val="20"/>
                <w:szCs w:val="20"/>
                <w:lang w:eastAsia="zh-CN"/>
              </w:rPr>
              <w:t>3</w:t>
            </w:r>
            <w:r>
              <w:rPr>
                <w:rFonts w:hint="eastAsia"/>
                <w:sz w:val="20"/>
                <w:szCs w:val="20"/>
              </w:rPr>
              <w:t>年</w:t>
            </w:r>
          </w:p>
        </w:tc>
        <w:tc>
          <w:tcPr>
            <w:tcW w:w="955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1849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exact"/>
          <w:jc w:val="center"/>
        </w:trPr>
        <w:tc>
          <w:tcPr>
            <w:tcW w:w="602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1377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售后服务</w:t>
            </w:r>
          </w:p>
        </w:tc>
        <w:tc>
          <w:tcPr>
            <w:tcW w:w="886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★</w:t>
            </w:r>
          </w:p>
        </w:tc>
        <w:tc>
          <w:tcPr>
            <w:tcW w:w="4401" w:type="dxa"/>
            <w:gridSpan w:val="3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保修期内免费提供定期维护保养服务，免费升级和维护软件，免费提供使用操作培训</w:t>
            </w:r>
          </w:p>
        </w:tc>
        <w:tc>
          <w:tcPr>
            <w:tcW w:w="955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1849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02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1377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售后服务</w:t>
            </w:r>
          </w:p>
        </w:tc>
        <w:tc>
          <w:tcPr>
            <w:tcW w:w="886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★</w:t>
            </w:r>
          </w:p>
        </w:tc>
        <w:tc>
          <w:tcPr>
            <w:tcW w:w="4401" w:type="dxa"/>
            <w:gridSpan w:val="3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提供不少于3人次，1天的工程师培训</w:t>
            </w:r>
          </w:p>
        </w:tc>
        <w:tc>
          <w:tcPr>
            <w:tcW w:w="955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1849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exact"/>
          <w:jc w:val="center"/>
        </w:trPr>
        <w:tc>
          <w:tcPr>
            <w:tcW w:w="602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377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售后服务</w:t>
            </w:r>
          </w:p>
        </w:tc>
        <w:tc>
          <w:tcPr>
            <w:tcW w:w="886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★</w:t>
            </w:r>
          </w:p>
        </w:tc>
        <w:tc>
          <w:tcPr>
            <w:tcW w:w="4401" w:type="dxa"/>
            <w:gridSpan w:val="3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维修响应时间≤4h，24小时内提出解决问题的方案，如需到现场维修，到达现场时间≤48h</w:t>
            </w:r>
          </w:p>
        </w:tc>
        <w:tc>
          <w:tcPr>
            <w:tcW w:w="955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1849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exact"/>
          <w:jc w:val="center"/>
        </w:trPr>
        <w:tc>
          <w:tcPr>
            <w:tcW w:w="602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1377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备品备件要求(零件)</w:t>
            </w:r>
          </w:p>
        </w:tc>
        <w:tc>
          <w:tcPr>
            <w:tcW w:w="886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★</w:t>
            </w:r>
          </w:p>
        </w:tc>
        <w:tc>
          <w:tcPr>
            <w:tcW w:w="4401" w:type="dxa"/>
            <w:gridSpan w:val="3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由供应商承诺项目使用寿命周期内保证零配件供应</w:t>
            </w:r>
          </w:p>
        </w:tc>
        <w:tc>
          <w:tcPr>
            <w:tcW w:w="955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1849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02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377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专用工具</w:t>
            </w:r>
          </w:p>
        </w:tc>
        <w:tc>
          <w:tcPr>
            <w:tcW w:w="886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★</w:t>
            </w:r>
          </w:p>
        </w:tc>
        <w:tc>
          <w:tcPr>
            <w:tcW w:w="4401" w:type="dxa"/>
            <w:gridSpan w:val="3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应提供的配套专修工具和使用工具。</w:t>
            </w:r>
          </w:p>
        </w:tc>
        <w:tc>
          <w:tcPr>
            <w:tcW w:w="955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1849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1" w:hRule="exact"/>
          <w:jc w:val="center"/>
        </w:trPr>
        <w:tc>
          <w:tcPr>
            <w:tcW w:w="602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377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知识产权</w:t>
            </w:r>
          </w:p>
        </w:tc>
        <w:tc>
          <w:tcPr>
            <w:tcW w:w="886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★</w:t>
            </w:r>
          </w:p>
        </w:tc>
        <w:tc>
          <w:tcPr>
            <w:tcW w:w="4401" w:type="dxa"/>
            <w:gridSpan w:val="3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报价供应商应当保证采购单位在使用该物资或其任何一部分时，不受第三方侵权指控。同时，报价供应商不得向第三方泄露采购机构提供的技术文件等材料。 基于项目合同履行形成的知识产权和其他权益，其权属归采购单位所有，法律另有规定的除外。</w:t>
            </w:r>
          </w:p>
        </w:tc>
        <w:tc>
          <w:tcPr>
            <w:tcW w:w="955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1849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exact"/>
          <w:jc w:val="center"/>
        </w:trPr>
        <w:tc>
          <w:tcPr>
            <w:tcW w:w="602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377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物资编目编码、打码贴签要求</w:t>
            </w:r>
          </w:p>
        </w:tc>
        <w:tc>
          <w:tcPr>
            <w:tcW w:w="886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★</w:t>
            </w:r>
          </w:p>
        </w:tc>
        <w:tc>
          <w:tcPr>
            <w:tcW w:w="4401" w:type="dxa"/>
            <w:gridSpan w:val="3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本项目对物资的编目编码，打码贴签要求，报价供应商应当予以明确响应，相关费用包含在报价中。</w:t>
            </w:r>
          </w:p>
        </w:tc>
        <w:tc>
          <w:tcPr>
            <w:tcW w:w="955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1849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979" w:type="dxa"/>
            <w:gridSpan w:val="2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技术偏离要求</w:t>
            </w:r>
          </w:p>
        </w:tc>
        <w:tc>
          <w:tcPr>
            <w:tcW w:w="8091" w:type="dxa"/>
            <w:gridSpan w:val="6"/>
            <w:vAlign w:val="center"/>
          </w:tcPr>
          <w:p>
            <w:pPr>
              <w:spacing w:after="0" w:line="240" w:lineRule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highlight w:val="none"/>
                <w:lang w:eastAsia="zh-CN"/>
              </w:rPr>
              <w:t>▲</w:t>
            </w:r>
            <w:r>
              <w:rPr>
                <w:rFonts w:hint="eastAsia"/>
                <w:sz w:val="20"/>
                <w:szCs w:val="20"/>
                <w:highlight w:val="none"/>
                <w:lang w:eastAsia="zh-CN"/>
              </w:rPr>
              <w:t>标识的指标负偏离≥2项，投标企业技术分值为0分</w:t>
            </w:r>
            <w:r>
              <w:rPr>
                <w:rFonts w:hint="eastAsia"/>
                <w:sz w:val="20"/>
                <w:szCs w:val="20"/>
                <w:highlight w:val="none"/>
                <w:lang w:eastAsia="zh-CN"/>
              </w:rPr>
              <w:br w:type="textWrapping"/>
            </w:r>
            <w:r>
              <w:rPr>
                <w:sz w:val="20"/>
                <w:szCs w:val="20"/>
                <w:highlight w:val="none"/>
                <w:lang w:eastAsia="zh-CN"/>
              </w:rPr>
              <w:t>▲</w:t>
            </w:r>
            <w:r>
              <w:rPr>
                <w:rFonts w:hint="eastAsia"/>
                <w:sz w:val="20"/>
                <w:szCs w:val="20"/>
                <w:highlight w:val="none"/>
                <w:lang w:eastAsia="zh-CN"/>
              </w:rPr>
              <w:t>标识的指标和“无标识”指标负偏离≥</w:t>
            </w:r>
            <w:r>
              <w:rPr>
                <w:rFonts w:hint="eastAsia"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/>
                <w:sz w:val="20"/>
                <w:szCs w:val="20"/>
                <w:highlight w:val="none"/>
                <w:lang w:eastAsia="zh-CN"/>
              </w:rPr>
              <w:t>项，投标企业技术分值为0分</w:t>
            </w:r>
          </w:p>
        </w:tc>
      </w:tr>
    </w:tbl>
    <w:p>
      <w:pPr>
        <w:rPr>
          <w:rFonts w:hint="eastAsia"/>
          <w:lang w:eastAsia="zh-CN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2240" w:h="15840"/>
      <w:pgMar w:top="1440" w:right="1080" w:bottom="1440" w:left="108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Courier">
    <w:altName w:val="Courier New"/>
    <w:panose1 w:val="02070409020205020404"/>
    <w:charset w:val="00"/>
    <w:family w:val="auto"/>
    <w:pitch w:val="default"/>
    <w:sig w:usb0="00000000" w:usb1="00000000" w:usb2="00000000" w:usb3="00000000" w:csb0="00000001" w:csb1="00000000"/>
  </w:font>
  <w:font w:name="Aptos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rPr>
        <w:rFonts w:hint="eastAsia"/>
      </w:rPr>
    </w:pPr>
    <w:r>
      <w:rPr>
        <w:rFonts w:hint="eastAsia"/>
      </w:rPr>
      <mc:AlternateContent>
        <mc:Choice Requires="wps">
          <w:drawing>
            <wp:anchor distT="0" distB="0" distL="0" distR="0" simplePos="0" relativeHeight="251662336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1548765" cy="368935"/>
              <wp:effectExtent l="0" t="0" r="13335" b="0"/>
              <wp:wrapNone/>
              <wp:docPr id="528215464" name="文本框 5" descr="Unrestricted Documen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4876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after="0"/>
                            <w:rPr>
                              <w:rFonts w:ascii="Aptos" w:hAnsi="Aptos" w:eastAsia="Aptos" w:cs="Aptos"/>
                              <w:color w:val="00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ptos" w:hAnsi="Aptos" w:eastAsia="Aptos" w:cs="Aptos"/>
                              <w:color w:val="000000"/>
                              <w:sz w:val="20"/>
                              <w:szCs w:val="20"/>
                            </w:rPr>
                            <w:t>Unrestricted Document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5" o:spid="_x0000_s1026" o:spt="202" alt="Unrestricted Document" type="#_x0000_t202" style="position:absolute;left:0pt;height:29.05pt;width:121.95pt;mso-position-horizontal:left;mso-position-horizontal-relative:page;mso-position-vertical:bottom;mso-position-vertical-relative:page;mso-wrap-style:none;z-index:251662336;v-text-anchor:bottom;mso-width-relative:page;mso-height-relative:page;" filled="f" stroked="f" coordsize="21600,21600" o:gfxdata="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BiJZrjUAAAABAEAAA8AAAAAAAAAAQAgAAAAIgAAAGRycy9kb3ducmV2LnhtbFBL&#10;AQIUABQAAAAIAIdO4kDLVocDMwIAAC0EAAAOAAAAAAAAAAEAIAAAACMBAABkcnMvZTJvRG9jLnht&#10;bFBLBQYAAAAABgAGAFkBAADIBQAAAAA=&#10;">
              <v:fill on="f" focussize="0,0"/>
              <v:stroke on="f"/>
              <v:imagedata o:title=""/>
              <o:lock v:ext="edit" aspectratio="f"/>
              <v:textbox inset="20pt,0mm,0mm,15pt" style="mso-fit-shape-to-text:t;">
                <w:txbxContent>
                  <w:p>
                    <w:pPr>
                      <w:spacing w:after="0"/>
                      <w:rPr>
                        <w:rFonts w:ascii="Aptos" w:hAnsi="Aptos" w:eastAsia="Aptos" w:cs="Aptos"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Aptos" w:hAnsi="Aptos" w:eastAsia="Aptos" w:cs="Aptos"/>
                        <w:color w:val="000000"/>
                        <w:sz w:val="20"/>
                        <w:szCs w:val="20"/>
                      </w:rPr>
                      <w:t>Unrestricted Document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rPr>
        <w:rFonts w:hint="eastAsia"/>
      </w:rPr>
    </w:pPr>
    <w:r>
      <w:rPr>
        <w:rFonts w:hint="eastAsia"/>
      </w:rPr>
      <mc:AlternateContent>
        <mc:Choice Requires="wps">
          <w:drawing>
            <wp:anchor distT="0" distB="0" distL="0" distR="0" simplePos="0" relativeHeight="251661312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1548765" cy="368935"/>
              <wp:effectExtent l="0" t="0" r="13335" b="0"/>
              <wp:wrapNone/>
              <wp:docPr id="1388156286" name="文本框 4" descr="Unrestricted Documen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4876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after="0"/>
                            <w:rPr>
                              <w:rFonts w:ascii="Aptos" w:hAnsi="Aptos" w:eastAsia="Aptos" w:cs="Aptos"/>
                              <w:color w:val="00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ptos" w:hAnsi="Aptos" w:eastAsia="Aptos" w:cs="Aptos"/>
                              <w:color w:val="000000"/>
                              <w:sz w:val="20"/>
                              <w:szCs w:val="20"/>
                            </w:rPr>
                            <w:t>Unrestricted Document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alt="Unrestricted Document" type="#_x0000_t202" style="position:absolute;left:0pt;height:29.05pt;width:121.95pt;mso-position-horizontal:left;mso-position-horizontal-relative:page;mso-position-vertical:bottom;mso-position-vertical-relative:page;mso-wrap-style:none;z-index:251661312;v-text-anchor:bottom;mso-width-relative:page;mso-height-relative:page;" filled="f" stroked="f" coordsize="21600,21600" o:gfxdata="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YiWa41AAAAAQBAAAPAAAAAAAAAAEAIAAAACIAAABkcnMvZG93bnJldi54bWxQ&#10;SwECFAAUAAAACACHTuJA4imMcTQCAAAuBAAADgAAAAAAAAABACAAAAAjAQAAZHJzL2Uyb0RvYy54&#10;bWxQSwUGAAAAAAYABgBZAQAAyQUAAAAA&#10;">
              <v:fill on="f" focussize="0,0"/>
              <v:stroke on="f"/>
              <v:imagedata o:title=""/>
              <o:lock v:ext="edit" aspectratio="f"/>
              <v:textbox inset="20pt,0mm,0mm,15pt" style="mso-fit-shape-to-text:t;">
                <w:txbxContent>
                  <w:p>
                    <w:pPr>
                      <w:spacing w:after="0"/>
                      <w:rPr>
                        <w:rFonts w:ascii="Aptos" w:hAnsi="Aptos" w:eastAsia="Aptos" w:cs="Aptos"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Aptos" w:hAnsi="Aptos" w:eastAsia="Aptos" w:cs="Aptos"/>
                        <w:color w:val="000000"/>
                        <w:sz w:val="20"/>
                        <w:szCs w:val="20"/>
                      </w:rPr>
                      <w:t>Unrestricted Document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6"/>
      <w:rPr>
        <w:rFonts w:hint="eastAsia"/>
      </w:rPr>
    </w:pPr>
    <w:r>
      <w:rPr>
        <w:rFonts w:hint="eastAsia"/>
      </w:rP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1548765" cy="368935"/>
              <wp:effectExtent l="0" t="0" r="13335" b="12065"/>
              <wp:wrapNone/>
              <wp:docPr id="648956866" name="文本框 2" descr="Unrestricted Documen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4876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after="0"/>
                            <w:rPr>
                              <w:rFonts w:ascii="Aptos" w:hAnsi="Aptos" w:eastAsia="Aptos" w:cs="Aptos"/>
                              <w:color w:val="00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ptos" w:hAnsi="Aptos" w:eastAsia="Aptos" w:cs="Aptos"/>
                              <w:color w:val="000000"/>
                              <w:sz w:val="20"/>
                              <w:szCs w:val="20"/>
                            </w:rPr>
                            <w:t>Unrestricted Document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alt="Unrestricted Document" type="#_x0000_t202" style="position:absolute;left:0pt;height:29.05pt;width:121.95pt;mso-position-horizontal:left;mso-position-horizontal-relative:page;mso-position-vertical:top;mso-position-vertical-relative:page;mso-wrap-style:none;z-index:251660288;mso-width-relative:page;mso-height-relative:page;" filled="f" stroked="f" coordsize="21600,21600" o:gfxdata="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OUPD51gAAAAQBAAAPAAAAAAAAAAEAIAAAACIAAABkcnMvZG93bnJldi54bWxQ&#10;SwECFAAUAAAACACHTuJA+HXVJjICAAAtBAAADgAAAAAAAAABACAAAAAlAQAAZHJzL2Uyb0RvYy54&#10;bWxQSwUGAAAAAAYABgBZAQAAyQUAAAAA&#10;">
              <v:fill on="f" focussize="0,0"/>
              <v:stroke on="f"/>
              <v:imagedata o:title=""/>
              <o:lock v:ext="edit" aspectratio="f"/>
              <v:textbox inset="20pt,15pt,0mm,0mm" style="mso-fit-shape-to-text:t;">
                <w:txbxContent>
                  <w:p>
                    <w:pPr>
                      <w:spacing w:after="0"/>
                      <w:rPr>
                        <w:rFonts w:ascii="Aptos" w:hAnsi="Aptos" w:eastAsia="Aptos" w:cs="Aptos"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Aptos" w:hAnsi="Aptos" w:eastAsia="Aptos" w:cs="Aptos"/>
                        <w:color w:val="000000"/>
                        <w:sz w:val="20"/>
                        <w:szCs w:val="20"/>
                      </w:rPr>
                      <w:t>Unrestricted Document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6"/>
      <w:rPr>
        <w:rFonts w:hint="eastAsia"/>
      </w:rPr>
    </w:pPr>
    <w:r>
      <w:rPr>
        <w:rFonts w:hint="eastAsia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1548765" cy="368935"/>
              <wp:effectExtent l="0" t="0" r="13335" b="12065"/>
              <wp:wrapNone/>
              <wp:docPr id="1009607022" name="文本框 1" descr="Unrestricted Documen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4876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after="0"/>
                            <w:rPr>
                              <w:rFonts w:ascii="Aptos" w:hAnsi="Aptos" w:eastAsia="Aptos" w:cs="Aptos"/>
                              <w:color w:val="00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ptos" w:hAnsi="Aptos" w:eastAsia="Aptos" w:cs="Aptos"/>
                              <w:color w:val="000000"/>
                              <w:sz w:val="20"/>
                              <w:szCs w:val="20"/>
                            </w:rPr>
                            <w:t>Unrestricted Document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alt="Unrestricted Document" type="#_x0000_t202" style="position:absolute;left:0pt;height:29.05pt;width:121.95pt;mso-position-horizontal:left;mso-position-horizontal-relative:page;mso-position-vertical:top;mso-position-vertical-relative:page;mso-wrap-style:none;z-index:251659264;mso-width-relative:page;mso-height-relative:page;" filled="f" stroked="f" coordsize="21600,21600" o:gfxdata="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OUPD51gAAAAQBAAAPAAAAAAAAAAEAIAAAACIAAABkcnMvZG93bnJldi54bWxQ&#10;SwECFAAUAAAACACHTuJAmO5FMTICAAAuBAAADgAAAAAAAAABACAAAAAlAQAAZHJzL2Uyb0RvYy54&#10;bWxQSwUGAAAAAAYABgBZAQAAyQUAAAAA&#10;">
              <v:fill on="f" focussize="0,0"/>
              <v:stroke on="f"/>
              <v:imagedata o:title=""/>
              <o:lock v:ext="edit" aspectratio="f"/>
              <v:textbox inset="20pt,15pt,0mm,0mm" style="mso-fit-shape-to-text:t;">
                <w:txbxContent>
                  <w:p>
                    <w:pPr>
                      <w:spacing w:after="0"/>
                      <w:rPr>
                        <w:rFonts w:ascii="Aptos" w:hAnsi="Aptos" w:eastAsia="Aptos" w:cs="Aptos"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Aptos" w:hAnsi="Aptos" w:eastAsia="Aptos" w:cs="Aptos"/>
                        <w:color w:val="000000"/>
                        <w:sz w:val="20"/>
                        <w:szCs w:val="20"/>
                      </w:rPr>
                      <w:t>Unrestricted Document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1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9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4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6">
    <w:nsid w:val="289C2433"/>
    <w:multiLevelType w:val="multilevel"/>
    <w:tmpl w:val="289C243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03033"/>
    <w:rsid w:val="00015440"/>
    <w:rsid w:val="00034616"/>
    <w:rsid w:val="0006063C"/>
    <w:rsid w:val="000768C9"/>
    <w:rsid w:val="00096569"/>
    <w:rsid w:val="000D3990"/>
    <w:rsid w:val="001454B1"/>
    <w:rsid w:val="0015074B"/>
    <w:rsid w:val="0016464C"/>
    <w:rsid w:val="0018113E"/>
    <w:rsid w:val="001C600C"/>
    <w:rsid w:val="001F11AC"/>
    <w:rsid w:val="00211416"/>
    <w:rsid w:val="00224D0A"/>
    <w:rsid w:val="00240519"/>
    <w:rsid w:val="00260C67"/>
    <w:rsid w:val="002670CB"/>
    <w:rsid w:val="00286E6F"/>
    <w:rsid w:val="0029639D"/>
    <w:rsid w:val="003126D0"/>
    <w:rsid w:val="00326F90"/>
    <w:rsid w:val="003A4E63"/>
    <w:rsid w:val="003D14DE"/>
    <w:rsid w:val="00403BAD"/>
    <w:rsid w:val="005124D6"/>
    <w:rsid w:val="00516CD2"/>
    <w:rsid w:val="0053370E"/>
    <w:rsid w:val="005D1463"/>
    <w:rsid w:val="005D31DE"/>
    <w:rsid w:val="0063348C"/>
    <w:rsid w:val="00670D20"/>
    <w:rsid w:val="00673568"/>
    <w:rsid w:val="006D0877"/>
    <w:rsid w:val="00724217"/>
    <w:rsid w:val="007273C7"/>
    <w:rsid w:val="00731166"/>
    <w:rsid w:val="007553E1"/>
    <w:rsid w:val="007B7907"/>
    <w:rsid w:val="007C0E5D"/>
    <w:rsid w:val="007D3D82"/>
    <w:rsid w:val="0080303A"/>
    <w:rsid w:val="0082069A"/>
    <w:rsid w:val="00825326"/>
    <w:rsid w:val="00830FE1"/>
    <w:rsid w:val="00846591"/>
    <w:rsid w:val="008600F0"/>
    <w:rsid w:val="00864634"/>
    <w:rsid w:val="00894F2A"/>
    <w:rsid w:val="0089570E"/>
    <w:rsid w:val="008B5D15"/>
    <w:rsid w:val="00906CB0"/>
    <w:rsid w:val="00910E83"/>
    <w:rsid w:val="00947CE5"/>
    <w:rsid w:val="00993202"/>
    <w:rsid w:val="00A42FE2"/>
    <w:rsid w:val="00AA0159"/>
    <w:rsid w:val="00AA1D8D"/>
    <w:rsid w:val="00B1612C"/>
    <w:rsid w:val="00B26345"/>
    <w:rsid w:val="00B47730"/>
    <w:rsid w:val="00B806D8"/>
    <w:rsid w:val="00B808D3"/>
    <w:rsid w:val="00B96036"/>
    <w:rsid w:val="00BC6BE9"/>
    <w:rsid w:val="00BE1024"/>
    <w:rsid w:val="00BE3387"/>
    <w:rsid w:val="00C17686"/>
    <w:rsid w:val="00C2643E"/>
    <w:rsid w:val="00C357CD"/>
    <w:rsid w:val="00C36EAE"/>
    <w:rsid w:val="00CB0664"/>
    <w:rsid w:val="00CF113E"/>
    <w:rsid w:val="00D31238"/>
    <w:rsid w:val="00D74801"/>
    <w:rsid w:val="00DA4237"/>
    <w:rsid w:val="00DC435C"/>
    <w:rsid w:val="00E00544"/>
    <w:rsid w:val="00E34C55"/>
    <w:rsid w:val="00E51118"/>
    <w:rsid w:val="00E541A7"/>
    <w:rsid w:val="00E608FD"/>
    <w:rsid w:val="00EF1D07"/>
    <w:rsid w:val="00EF58AF"/>
    <w:rsid w:val="00FC693F"/>
    <w:rsid w:val="00FE777B"/>
    <w:rsid w:val="00FF0017"/>
    <w:rsid w:val="093D52D1"/>
    <w:rsid w:val="19974D25"/>
    <w:rsid w:val="1C121318"/>
    <w:rsid w:val="2565153C"/>
    <w:rsid w:val="27C9173C"/>
    <w:rsid w:val="2E304E77"/>
    <w:rsid w:val="31211EC3"/>
    <w:rsid w:val="362447DE"/>
    <w:rsid w:val="3E3F3F99"/>
    <w:rsid w:val="44A570FA"/>
    <w:rsid w:val="471962D1"/>
    <w:rsid w:val="4DDC29BB"/>
    <w:rsid w:val="508E06C8"/>
    <w:rsid w:val="54FF7811"/>
    <w:rsid w:val="59884068"/>
    <w:rsid w:val="5E9F1E0A"/>
    <w:rsid w:val="61491BB2"/>
    <w:rsid w:val="75BD0EFE"/>
    <w:rsid w:val="79EB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="宋体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41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42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6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7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8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4">
    <w:name w:val="Default Paragraph Font"/>
    <w:semiHidden/>
    <w:unhideWhenUsed/>
    <w:qFormat/>
    <w:uiPriority w:val="1"/>
  </w:style>
  <w:style w:type="table" w:default="1" w:styleId="3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0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annotation text"/>
    <w:basedOn w:val="1"/>
    <w:link w:val="168"/>
    <w:semiHidden/>
    <w:unhideWhenUsed/>
    <w:qFormat/>
    <w:uiPriority w:val="99"/>
  </w:style>
  <w:style w:type="paragraph" w:styleId="18">
    <w:name w:val="Body Text 3"/>
    <w:basedOn w:val="1"/>
    <w:link w:val="149"/>
    <w:unhideWhenUsed/>
    <w:qFormat/>
    <w:uiPriority w:val="99"/>
    <w:pPr>
      <w:spacing w:after="120"/>
    </w:pPr>
    <w:rPr>
      <w:sz w:val="16"/>
      <w:szCs w:val="16"/>
    </w:rPr>
  </w:style>
  <w:style w:type="paragraph" w:styleId="19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20">
    <w:name w:val="Body Text"/>
    <w:basedOn w:val="1"/>
    <w:link w:val="147"/>
    <w:unhideWhenUsed/>
    <w:qFormat/>
    <w:uiPriority w:val="99"/>
    <w:pPr>
      <w:spacing w:after="120"/>
    </w:pPr>
  </w:style>
  <w:style w:type="paragraph" w:styleId="21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2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3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4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5">
    <w:name w:val="footer"/>
    <w:basedOn w:val="1"/>
    <w:link w:val="139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header"/>
    <w:basedOn w:val="1"/>
    <w:link w:val="138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7">
    <w:name w:val="Subtitle"/>
    <w:basedOn w:val="1"/>
    <w:next w:val="1"/>
    <w:link w:val="145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8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9">
    <w:name w:val="Body Text 2"/>
    <w:basedOn w:val="1"/>
    <w:link w:val="148"/>
    <w:unhideWhenUsed/>
    <w:qFormat/>
    <w:uiPriority w:val="99"/>
    <w:pPr>
      <w:spacing w:after="120" w:line="480" w:lineRule="auto"/>
    </w:pPr>
  </w:style>
  <w:style w:type="paragraph" w:styleId="30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1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2">
    <w:name w:val="Title"/>
    <w:basedOn w:val="1"/>
    <w:next w:val="1"/>
    <w:link w:val="144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paragraph" w:styleId="33">
    <w:name w:val="annotation subject"/>
    <w:basedOn w:val="17"/>
    <w:next w:val="17"/>
    <w:link w:val="169"/>
    <w:semiHidden/>
    <w:unhideWhenUsed/>
    <w:qFormat/>
    <w:uiPriority w:val="99"/>
    <w:rPr>
      <w:b/>
      <w:bCs/>
    </w:rPr>
  </w:style>
  <w:style w:type="table" w:styleId="35">
    <w:name w:val="Table Grid"/>
    <w:basedOn w:val="34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36">
    <w:name w:val="Light Shading"/>
    <w:basedOn w:val="34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7">
    <w:name w:val="Light Shading Accent 1"/>
    <w:basedOn w:val="34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8">
    <w:name w:val="Light Shading Accent 2"/>
    <w:basedOn w:val="34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9">
    <w:name w:val="Light Shading Accent 3"/>
    <w:basedOn w:val="34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40">
    <w:name w:val="Light Shading Accent 4"/>
    <w:basedOn w:val="34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1">
    <w:name w:val="Light Shading Accent 5"/>
    <w:basedOn w:val="34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2">
    <w:name w:val="Light Shading Accent 6"/>
    <w:basedOn w:val="34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3">
    <w:name w:val="Light List"/>
    <w:basedOn w:val="34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4">
    <w:name w:val="Light List Accent 1"/>
    <w:basedOn w:val="34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5">
    <w:name w:val="Light List Accent 2"/>
    <w:basedOn w:val="34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6">
    <w:name w:val="Light List Accent 3"/>
    <w:basedOn w:val="34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7">
    <w:name w:val="Light List Accent 4"/>
    <w:basedOn w:val="34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8">
    <w:name w:val="Light List Accent 5"/>
    <w:basedOn w:val="34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9">
    <w:name w:val="Light List Accent 6"/>
    <w:basedOn w:val="34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50">
    <w:name w:val="Light Grid"/>
    <w:basedOn w:val="34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1">
    <w:name w:val="Light Grid Accent 1"/>
    <w:basedOn w:val="34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2">
    <w:name w:val="Light Grid Accent 2"/>
    <w:basedOn w:val="34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3">
    <w:name w:val="Light Grid Accent 3"/>
    <w:basedOn w:val="34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4">
    <w:name w:val="Light Grid Accent 4"/>
    <w:basedOn w:val="34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5">
    <w:name w:val="Light Grid Accent 5"/>
    <w:basedOn w:val="34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6">
    <w:name w:val="Light Grid Accent 6"/>
    <w:basedOn w:val="34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7">
    <w:name w:val="Medium Shading 1"/>
    <w:basedOn w:val="34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1"/>
    <w:basedOn w:val="34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2"/>
    <w:basedOn w:val="34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3"/>
    <w:basedOn w:val="34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4"/>
    <w:basedOn w:val="34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1 Accent 5"/>
    <w:basedOn w:val="34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3">
    <w:name w:val="Medium Shading 1 Accent 6"/>
    <w:basedOn w:val="34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4">
    <w:name w:val="Medium Shading 2"/>
    <w:basedOn w:val="34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1"/>
    <w:basedOn w:val="34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2"/>
    <w:basedOn w:val="34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3"/>
    <w:basedOn w:val="34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4"/>
    <w:basedOn w:val="34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5"/>
    <w:basedOn w:val="34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Shading 2 Accent 6"/>
    <w:basedOn w:val="34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1">
    <w:name w:val="Medium List 1"/>
    <w:basedOn w:val="34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2">
    <w:name w:val="Medium List 1 Accent 1"/>
    <w:basedOn w:val="34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3">
    <w:name w:val="Medium List 1 Accent 2"/>
    <w:basedOn w:val="34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4">
    <w:name w:val="Medium List 1 Accent 3"/>
    <w:basedOn w:val="34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5">
    <w:name w:val="Medium List 1 Accent 4"/>
    <w:basedOn w:val="34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6">
    <w:name w:val="Medium List 1 Accent 5"/>
    <w:basedOn w:val="34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7">
    <w:name w:val="Medium List 1 Accent 6"/>
    <w:basedOn w:val="34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8">
    <w:name w:val="Medium List 2"/>
    <w:basedOn w:val="34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1"/>
    <w:basedOn w:val="34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2"/>
    <w:basedOn w:val="34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3"/>
    <w:basedOn w:val="34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4"/>
    <w:basedOn w:val="34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List 2 Accent 5"/>
    <w:basedOn w:val="34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4">
    <w:name w:val="Medium List 2 Accent 6"/>
    <w:basedOn w:val="34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5">
    <w:name w:val="Medium Grid 1"/>
    <w:basedOn w:val="34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6">
    <w:name w:val="Medium Grid 1 Accent 1"/>
    <w:basedOn w:val="34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7">
    <w:name w:val="Medium Grid 1 Accent 2"/>
    <w:basedOn w:val="34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8">
    <w:name w:val="Medium Grid 1 Accent 3"/>
    <w:basedOn w:val="34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9">
    <w:name w:val="Medium Grid 1 Accent 4"/>
    <w:basedOn w:val="34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90">
    <w:name w:val="Medium Grid 1 Accent 5"/>
    <w:basedOn w:val="34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91">
    <w:name w:val="Medium Grid 1 Accent 6"/>
    <w:basedOn w:val="34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2">
    <w:name w:val="Medium Grid 2"/>
    <w:basedOn w:val="34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1"/>
    <w:basedOn w:val="34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2"/>
    <w:basedOn w:val="34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3"/>
    <w:basedOn w:val="34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4"/>
    <w:basedOn w:val="34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5"/>
    <w:basedOn w:val="34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8">
    <w:name w:val="Medium Grid 2 Accent 6"/>
    <w:basedOn w:val="34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9">
    <w:name w:val="Medium Grid 3"/>
    <w:basedOn w:val="34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100">
    <w:name w:val="Medium Grid 3 Accent 1"/>
    <w:basedOn w:val="34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1">
    <w:name w:val="Medium Grid 3 Accent 2"/>
    <w:basedOn w:val="34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2">
    <w:name w:val="Medium Grid 3 Accent 3"/>
    <w:basedOn w:val="34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3">
    <w:name w:val="Medium Grid 3 Accent 4"/>
    <w:basedOn w:val="34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4">
    <w:name w:val="Medium Grid 3 Accent 5"/>
    <w:basedOn w:val="34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5">
    <w:name w:val="Medium Grid 3 Accent 6"/>
    <w:basedOn w:val="34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6">
    <w:name w:val="Dark List"/>
    <w:basedOn w:val="34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7">
    <w:name w:val="Dark List Accent 1"/>
    <w:basedOn w:val="34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8">
    <w:name w:val="Dark List Accent 2"/>
    <w:basedOn w:val="34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9">
    <w:name w:val="Dark List Accent 3"/>
    <w:basedOn w:val="34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10">
    <w:name w:val="Dark List Accent 4"/>
    <w:basedOn w:val="34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1">
    <w:name w:val="Dark List Accent 5"/>
    <w:basedOn w:val="34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2">
    <w:name w:val="Dark List Accent 6"/>
    <w:basedOn w:val="34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3">
    <w:name w:val="Colorful Shading"/>
    <w:basedOn w:val="34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1"/>
    <w:basedOn w:val="34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2"/>
    <w:basedOn w:val="34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3"/>
    <w:basedOn w:val="34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7">
    <w:name w:val="Colorful Shading Accent 4"/>
    <w:basedOn w:val="34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Shading Accent 5"/>
    <w:basedOn w:val="34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9">
    <w:name w:val="Colorful Shading Accent 6"/>
    <w:basedOn w:val="34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20">
    <w:name w:val="Colorful List"/>
    <w:basedOn w:val="34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21">
    <w:name w:val="Colorful List Accent 1"/>
    <w:basedOn w:val="34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2">
    <w:name w:val="Colorful List Accent 2"/>
    <w:basedOn w:val="34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3">
    <w:name w:val="Colorful List Accent 3"/>
    <w:basedOn w:val="34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4">
    <w:name w:val="Colorful List Accent 4"/>
    <w:basedOn w:val="34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5">
    <w:name w:val="Colorful List Accent 5"/>
    <w:basedOn w:val="34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6">
    <w:name w:val="Colorful List Accent 6"/>
    <w:basedOn w:val="34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7">
    <w:name w:val="Colorful Grid"/>
    <w:basedOn w:val="34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8">
    <w:name w:val="Colorful Grid Accent 1"/>
    <w:basedOn w:val="34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9">
    <w:name w:val="Colorful Grid Accent 2"/>
    <w:basedOn w:val="34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30">
    <w:name w:val="Colorful Grid Accent 3"/>
    <w:basedOn w:val="34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31">
    <w:name w:val="Colorful Grid Accent 4"/>
    <w:basedOn w:val="34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2">
    <w:name w:val="Colorful Grid Accent 5"/>
    <w:basedOn w:val="34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3">
    <w:name w:val="Colorful Grid Accent 6"/>
    <w:basedOn w:val="34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5">
    <w:name w:val="Strong"/>
    <w:basedOn w:val="134"/>
    <w:qFormat/>
    <w:uiPriority w:val="22"/>
    <w:rPr>
      <w:b/>
      <w:bCs/>
    </w:rPr>
  </w:style>
  <w:style w:type="character" w:styleId="136">
    <w:name w:val="Emphasis"/>
    <w:basedOn w:val="134"/>
    <w:qFormat/>
    <w:uiPriority w:val="20"/>
    <w:rPr>
      <w:i/>
      <w:iCs/>
    </w:rPr>
  </w:style>
  <w:style w:type="character" w:styleId="137">
    <w:name w:val="annotation reference"/>
    <w:basedOn w:val="134"/>
    <w:semiHidden/>
    <w:unhideWhenUsed/>
    <w:qFormat/>
    <w:uiPriority w:val="99"/>
    <w:rPr>
      <w:sz w:val="21"/>
      <w:szCs w:val="21"/>
    </w:rPr>
  </w:style>
  <w:style w:type="character" w:customStyle="1" w:styleId="138">
    <w:name w:val="页眉 字符"/>
    <w:basedOn w:val="134"/>
    <w:link w:val="26"/>
    <w:qFormat/>
    <w:uiPriority w:val="99"/>
  </w:style>
  <w:style w:type="character" w:customStyle="1" w:styleId="139">
    <w:name w:val="页脚 字符"/>
    <w:basedOn w:val="134"/>
    <w:link w:val="25"/>
    <w:qFormat/>
    <w:uiPriority w:val="99"/>
  </w:style>
  <w:style w:type="paragraph" w:styleId="140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41">
    <w:name w:val="标题 1 字符"/>
    <w:basedOn w:val="134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42">
    <w:name w:val="标题 2 字符"/>
    <w:basedOn w:val="134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3">
    <w:name w:val="标题 3 字符"/>
    <w:basedOn w:val="134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4">
    <w:name w:val="标题 字符"/>
    <w:basedOn w:val="134"/>
    <w:link w:val="32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5">
    <w:name w:val="副标题 字符"/>
    <w:basedOn w:val="134"/>
    <w:link w:val="27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6">
    <w:name w:val="List Paragraph"/>
    <w:basedOn w:val="1"/>
    <w:qFormat/>
    <w:uiPriority w:val="34"/>
    <w:pPr>
      <w:ind w:left="720"/>
      <w:contextualSpacing/>
    </w:pPr>
  </w:style>
  <w:style w:type="character" w:customStyle="1" w:styleId="147">
    <w:name w:val="正文文本 字符"/>
    <w:basedOn w:val="134"/>
    <w:link w:val="20"/>
    <w:qFormat/>
    <w:uiPriority w:val="99"/>
  </w:style>
  <w:style w:type="character" w:customStyle="1" w:styleId="148">
    <w:name w:val="正文文本 2 字符"/>
    <w:basedOn w:val="134"/>
    <w:link w:val="29"/>
    <w:qFormat/>
    <w:uiPriority w:val="99"/>
  </w:style>
  <w:style w:type="character" w:customStyle="1" w:styleId="149">
    <w:name w:val="正文文本 3 字符"/>
    <w:basedOn w:val="134"/>
    <w:link w:val="18"/>
    <w:qFormat/>
    <w:uiPriority w:val="99"/>
    <w:rPr>
      <w:sz w:val="16"/>
      <w:szCs w:val="16"/>
    </w:rPr>
  </w:style>
  <w:style w:type="character" w:customStyle="1" w:styleId="150">
    <w:name w:val="宏文本 字符"/>
    <w:basedOn w:val="134"/>
    <w:link w:val="2"/>
    <w:uiPriority w:val="99"/>
    <w:rPr>
      <w:rFonts w:ascii="Courier" w:hAnsi="Courier"/>
      <w:sz w:val="20"/>
      <w:szCs w:val="20"/>
    </w:rPr>
  </w:style>
  <w:style w:type="paragraph" w:styleId="151">
    <w:name w:val="Quote"/>
    <w:basedOn w:val="1"/>
    <w:next w:val="1"/>
    <w:link w:val="152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2">
    <w:name w:val="引用 字符"/>
    <w:basedOn w:val="134"/>
    <w:link w:val="151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3">
    <w:name w:val="标题 4 字符"/>
    <w:basedOn w:val="134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4">
    <w:name w:val="标题 5 字符"/>
    <w:basedOn w:val="134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5">
    <w:name w:val="标题 6 字符"/>
    <w:basedOn w:val="134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6">
    <w:name w:val="标题 7 字符"/>
    <w:basedOn w:val="134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7">
    <w:name w:val="标题 8 字符"/>
    <w:basedOn w:val="134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8">
    <w:name w:val="标题 9 字符"/>
    <w:basedOn w:val="134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9">
    <w:name w:val="Intense Quote"/>
    <w:basedOn w:val="1"/>
    <w:next w:val="1"/>
    <w:link w:val="160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明显引用 字符"/>
    <w:basedOn w:val="134"/>
    <w:link w:val="159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1">
    <w:name w:val="Subtle Emphasis"/>
    <w:basedOn w:val="134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2">
    <w:name w:val="Intense Emphasis"/>
    <w:basedOn w:val="134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3">
    <w:name w:val="Subtle Reference"/>
    <w:basedOn w:val="134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4">
    <w:name w:val="Intense Reference"/>
    <w:basedOn w:val="134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5">
    <w:name w:val="Book Title"/>
    <w:basedOn w:val="134"/>
    <w:qFormat/>
    <w:uiPriority w:val="33"/>
    <w:rPr>
      <w:b/>
      <w:bCs/>
      <w:smallCaps/>
      <w:spacing w:val="5"/>
    </w:rPr>
  </w:style>
  <w:style w:type="paragraph" w:customStyle="1" w:styleId="166">
    <w:name w:val="TOC Heading"/>
    <w:basedOn w:val="3"/>
    <w:next w:val="1"/>
    <w:semiHidden/>
    <w:unhideWhenUsed/>
    <w:qFormat/>
    <w:uiPriority w:val="39"/>
    <w:pPr>
      <w:outlineLvl w:val="9"/>
    </w:pPr>
  </w:style>
  <w:style w:type="paragraph" w:customStyle="1" w:styleId="167">
    <w:name w:val="Revision"/>
    <w:hidden/>
    <w:semiHidden/>
    <w:qFormat/>
    <w:uiPriority w:val="99"/>
    <w:pPr>
      <w:spacing w:after="0" w:line="240" w:lineRule="auto"/>
    </w:pPr>
    <w:rPr>
      <w:rFonts w:ascii="宋体" w:hAnsi="宋体" w:eastAsia="宋体" w:cstheme="minorBidi"/>
      <w:sz w:val="22"/>
      <w:szCs w:val="22"/>
      <w:lang w:val="en-US" w:eastAsia="en-US" w:bidi="ar-SA"/>
    </w:rPr>
  </w:style>
  <w:style w:type="character" w:customStyle="1" w:styleId="168">
    <w:name w:val="批注文字 字符"/>
    <w:basedOn w:val="134"/>
    <w:link w:val="17"/>
    <w:semiHidden/>
    <w:qFormat/>
    <w:uiPriority w:val="99"/>
    <w:rPr>
      <w:rFonts w:ascii="宋体" w:hAnsi="宋体" w:eastAsia="宋体"/>
    </w:rPr>
  </w:style>
  <w:style w:type="character" w:customStyle="1" w:styleId="169">
    <w:name w:val="批注主题 字符"/>
    <w:basedOn w:val="168"/>
    <w:link w:val="33"/>
    <w:semiHidden/>
    <w:qFormat/>
    <w:uiPriority w:val="99"/>
    <w:rPr>
      <w:rFonts w:ascii="宋体" w:hAnsi="宋体" w:eastAsia="宋体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1284</Words>
  <Characters>1375</Characters>
  <Lines>229</Lines>
  <Paragraphs>265</Paragraphs>
  <TotalTime>3</TotalTime>
  <ScaleCrop>false</ScaleCrop>
  <LinksUpToDate>false</LinksUpToDate>
  <CharactersWithSpaces>2394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2026-05-21T07:56:00Z</dcterms:created>
  <dc:creator>python-docx</dc:creator>
  <dc:description>generated by python-docx</dc:description>
  <cp:lastModifiedBy>DOCTOR</cp:lastModifiedBy>
  <cp:lastPrinted>2026-06-24T07:39:00Z</cp:lastPrinted>
  <dcterms:modified xsi:type="dcterms:W3CDTF">2026-07-02T02:38:39Z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3c2d616e,26ae4bc2,29265e5b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Unrestricted Document</vt:lpwstr>
  </property>
  <property fmtid="{D5CDD505-2E9C-101B-9397-08002B2CF9AE}" pid="5" name="ClassificationContentMarkingFooterShapeIds">
    <vt:lpwstr>52bd957e,1f7beda8,42c7bf70</vt:lpwstr>
  </property>
  <property fmtid="{D5CDD505-2E9C-101B-9397-08002B2CF9AE}" pid="6" name="ClassificationContentMarkingFooterFontProps">
    <vt:lpwstr>#000000,10,Aptos</vt:lpwstr>
  </property>
  <property fmtid="{D5CDD505-2E9C-101B-9397-08002B2CF9AE}" pid="7" name="ClassificationContentMarkingFooterText">
    <vt:lpwstr>Unrestricted Document</vt:lpwstr>
  </property>
  <property fmtid="{D5CDD505-2E9C-101B-9397-08002B2CF9AE}" pid="8" name="MSIP_Label_3a6cd297-68f3-4e9c-a217-8f77a18ff69a_Enabled">
    <vt:lpwstr>true</vt:lpwstr>
  </property>
  <property fmtid="{D5CDD505-2E9C-101B-9397-08002B2CF9AE}" pid="9" name="MSIP_Label_3a6cd297-68f3-4e9c-a217-8f77a18ff69a_SetDate">
    <vt:lpwstr>2026-04-22T15:28:55Z</vt:lpwstr>
  </property>
  <property fmtid="{D5CDD505-2E9C-101B-9397-08002B2CF9AE}" pid="10" name="MSIP_Label_3a6cd297-68f3-4e9c-a217-8f77a18ff69a_Method">
    <vt:lpwstr>Privileged</vt:lpwstr>
  </property>
  <property fmtid="{D5CDD505-2E9C-101B-9397-08002B2CF9AE}" pid="11" name="MSIP_Label_3a6cd297-68f3-4e9c-a217-8f77a18ff69a_Name">
    <vt:lpwstr>Unrestricted</vt:lpwstr>
  </property>
  <property fmtid="{D5CDD505-2E9C-101B-9397-08002B2CF9AE}" pid="12" name="MSIP_Label_3a6cd297-68f3-4e9c-a217-8f77a18ff69a_SiteId">
    <vt:lpwstr>071061f3-d569-4688-9ede-b63a6a7f1ecc</vt:lpwstr>
  </property>
  <property fmtid="{D5CDD505-2E9C-101B-9397-08002B2CF9AE}" pid="13" name="MSIP_Label_3a6cd297-68f3-4e9c-a217-8f77a18ff69a_ActionId">
    <vt:lpwstr>6658e7ff-7a05-482d-ba35-554ccc218324</vt:lpwstr>
  </property>
  <property fmtid="{D5CDD505-2E9C-101B-9397-08002B2CF9AE}" pid="14" name="MSIP_Label_3a6cd297-68f3-4e9c-a217-8f77a18ff69a_ContentBits">
    <vt:lpwstr>3</vt:lpwstr>
  </property>
  <property fmtid="{D5CDD505-2E9C-101B-9397-08002B2CF9AE}" pid="15" name="MSIP_Label_3a6cd297-68f3-4e9c-a217-8f77a18ff69a_Tag">
    <vt:lpwstr>10, 0, 1, 1</vt:lpwstr>
  </property>
  <property fmtid="{D5CDD505-2E9C-101B-9397-08002B2CF9AE}" pid="16" name="KSOProductBuildVer">
    <vt:lpwstr>2052-11.8.2.9067</vt:lpwstr>
  </property>
</Properties>
</file>