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3848"/>
        <w:gridCol w:w="1132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5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>2025-JQ06-W35</w:t>
            </w: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 xml:space="preserve"> 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凝血功能+血小板功能动态检测仪</w:t>
            </w:r>
          </w:p>
        </w:tc>
        <w:tc>
          <w:tcPr>
            <w:tcW w:w="11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8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 xml:space="preserve">用于快速动态监测全血凝血功能和血小板功能，从而指导临床抗凝、抗血小板治疗及血制品输注。 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使用说明书或技术白皮书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 xml:space="preserve">具备NMPA 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检测项目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包括但不限于凝血激活时间、凝血速率、血小板功能、血小板峰值、血小板峰值振幅等检测项目。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使用说明书或技术白皮书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检测指标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实现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≤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15分钟内检测出凝血功能指标和临床指导数据，可快速评估凝血功能及血小板功能。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使用说明书或第三方检测报告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用药指导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用于检测和指导各类抗凝药物监测，对不同剂量肝素、低分子肝素、口服抗凝药的检测等。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血制品输注指导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可快速指导成分输血，降低血浆、纤维蛋白原、血小板的输注量，实现个体化科学合理血液输注。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样本类型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同时满足自然全血和抗凝全血检测。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使用说明书或技术白皮书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标本用量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检测用血量为≤0.50ml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检测通道数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≥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2个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蓄电功能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内置专用锂离子电池，在25℃环境下可正常工作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≥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4个小时。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使用说明书或技术白皮书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安全验证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内置RFID读写装置，可自动识别试剂型号、生产时间、效期等内容，具有溯源性和提示功能。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使用说明书或技术白皮书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配套耗材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厂家承诺及注册证，若非同品牌需提供耗材(试剂)为设备生产企业指定唯一代工品牌的证明材料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（1）主机   1台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（2）网线   1条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（3）电源线 1条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（4）夹持器 1把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 xml:space="preserve">（5）说明书 1份 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企业承诺或配置清单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72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项，投标企业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3"/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szCs w:val="24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  <w:t>得0分</w:t>
            </w:r>
          </w:p>
          <w:p>
            <w:pPr>
              <w:pStyle w:val="3"/>
              <w:rPr>
                <w:rFonts w:hint="eastAsi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▲标识的指标和“无标识”指标负偏离≥4项，投标企业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（4）无标识指标正偏离需参照上述要求提供技术支持材料，未提供的正偏离不予认可；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3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263"/>
        <w:gridCol w:w="697"/>
        <w:gridCol w:w="1422"/>
        <w:gridCol w:w="14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sz w:val="20"/>
              </w:rPr>
              <w:t>凝血功能+血小板功能动态检测仪</w:t>
            </w:r>
          </w:p>
        </w:tc>
        <w:tc>
          <w:tcPr>
            <w:tcW w:w="11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8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2025-JQ06-W3530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47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/>
                <w:iCs/>
                <w:kern w:val="0"/>
                <w:sz w:val="20"/>
                <w:lang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sz w:val="20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0"/>
              </w:rPr>
              <w:t>凝血和血小板功能检测试剂盒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0"/>
              </w:rPr>
              <w:t>100人份/盒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0"/>
              </w:rPr>
              <w:t>7000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0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0"/>
              </w:rPr>
              <w:t>160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/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0442BE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2026-07-04T07:09:40Z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