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6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6"/>
        <w:gridCol w:w="1599"/>
        <w:gridCol w:w="585"/>
        <w:gridCol w:w="3848"/>
        <w:gridCol w:w="1132"/>
        <w:gridCol w:w="661"/>
        <w:gridCol w:w="10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5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采购需求表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159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  <w:t>2025-JQ06-W35</w:t>
            </w: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42</w:t>
            </w:r>
            <w:r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  <w:t xml:space="preserve"> </w:t>
            </w:r>
          </w:p>
        </w:tc>
        <w:tc>
          <w:tcPr>
            <w:tcW w:w="5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84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免疫印迹仪</w:t>
            </w:r>
          </w:p>
        </w:tc>
        <w:tc>
          <w:tcPr>
            <w:tcW w:w="11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68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4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基本要求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用于吸入性和食物性过敏原检测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标准规范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具备NMPA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官方认证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过敏原检测项目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食物过敏原至少包含鸡蛋白、黄豆、小麦、荞麦、芝麻</w:t>
            </w: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等检测项目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；吸入性过敏原至少包含户尘螨、粉尘螨、热带无爪螨</w:t>
            </w: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等检测项目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4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检测原理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免疫印迹法（生物素亲和素放大反应系统）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lang w:val="en-US" w:eastAsia="zh-CN"/>
              </w:rPr>
              <w:t>5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标本用量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血清≤300μ</w:t>
            </w: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，无需稀释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lang w:val="en-US" w:eastAsia="zh-CN"/>
              </w:rPr>
              <w:t>6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样本通量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≥5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0个、</w:t>
            </w: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且摇动速度可自定义调整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lang w:val="en-US" w:eastAsia="zh-CN"/>
              </w:rPr>
              <w:t>7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条形码识别功能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自动获取样本信息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8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试剂位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≥4个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9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分液系统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≥4通道，且准确度偏差范围≤±5%，重复性偏差≤5%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10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 xml:space="preserve">  检测系统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可支持不同项目同时检测，不同试剂组合同时检测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11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液面检测系统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可对清洗液和废液等液面进行探测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12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废液残留量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≤5%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13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孵育温控要求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准确度应在设定值的±1℃范围内，波动范围≤1.0℃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14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具备故障报警功能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设备出现故障时，最少有两种报警提示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15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软件需求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可实现全自动实验处理和图像分析判读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16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判读结果要求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准确度偏差</w:t>
            </w: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范围在±5%内，重复性偏差≤5%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17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联机通讯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完成与医院LIS双向通讯功能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2"/>
                <w:sz w:val="20"/>
                <w:lang w:val="en-US" w:eastAsia="zh-CN" w:bidi="ar-SA"/>
              </w:rPr>
              <w:t>18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内置相机要求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内置</w:t>
            </w: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彩色相机，像素≥600万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2"/>
                <w:sz w:val="20"/>
                <w:lang w:val="en-US" w:eastAsia="zh-CN" w:bidi="ar-SA"/>
              </w:rPr>
              <w:t>19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配置要求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免疫印迹仪及附件</w:t>
            </w: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1套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厂家承诺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20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配套耗材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（试剂）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封闭耗材（试剂）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厂家承诺及注册证，若非同品牌需提供耗材(试剂)为设备生产企业指定唯一代工品牌的证明材料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采购实施建议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技术偏离要求</w:t>
            </w:r>
          </w:p>
        </w:tc>
        <w:tc>
          <w:tcPr>
            <w:tcW w:w="72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▲标识的指标负偏离≥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项，企业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技术参数分值为0分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3"/>
              <w:rPr>
                <w:rFonts w:hint="eastAsia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▲标识的指标和“无标识”指标负偏离≥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项，企业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技术参数分值为0分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2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（1）★指标为必须响应指标，任意一项不满足要求即做废标处理；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（2）《采购需求表》备注已明确证明材料种类的，以所注内容或国家行政管理部门、专业检测机构出具的证明材料为准。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（4）无标识指标正偏离需参照上述要求提供技术支持材料，未提供的正偏离不予认可；</w:t>
            </w:r>
          </w:p>
        </w:tc>
      </w:tr>
    </w:tbl>
    <w:p/>
    <w:tbl>
      <w:tblPr>
        <w:tblStyle w:val="6"/>
        <w:tblW w:w="936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2153"/>
        <w:gridCol w:w="1050"/>
        <w:gridCol w:w="840"/>
        <w:gridCol w:w="263"/>
        <w:gridCol w:w="697"/>
        <w:gridCol w:w="1422"/>
        <w:gridCol w:w="14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3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14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03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</w:rPr>
              <w:t>免疫印迹仪</w:t>
            </w:r>
          </w:p>
        </w:tc>
        <w:tc>
          <w:tcPr>
            <w:tcW w:w="1103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580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2025-JQ06-W3542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147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描述</w:t>
            </w:r>
          </w:p>
        </w:tc>
        <w:tc>
          <w:tcPr>
            <w:tcW w:w="7886" w:type="dxa"/>
            <w:gridSpan w:val="7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tbl>
            <w:tblPr>
              <w:tblStyle w:val="6"/>
              <w:tblW w:w="7959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959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7959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hint="eastAsia" w:ascii="宋体" w:hAnsi="宋体" w:cs="宋体"/>
                      <w:kern w:val="0"/>
                      <w:sz w:val="20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lang w:bidi="ar"/>
                    </w:rPr>
                    <w:t>耗材（试剂）与设备为同一品牌；耗材（试剂）为设备生产企业指定的唯一代工品牌</w:t>
                  </w:r>
                  <w:r>
                    <w:rPr>
                      <w:rFonts w:hint="eastAsia" w:ascii="宋体" w:hAnsi="宋体" w:cs="宋体"/>
                      <w:i/>
                      <w:iCs/>
                      <w:kern w:val="0"/>
                      <w:sz w:val="20"/>
                      <w:lang w:bidi="ar"/>
                    </w:rPr>
                    <w:t>。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sz w:val="20"/>
                <w:lang w:val="en-US" w:eastAsia="zh-CN"/>
              </w:rPr>
              <w:t>1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0"/>
              </w:rPr>
              <w:t>过敏原特异性IgE抗体检测试剂盒（免疫印迹法）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0"/>
                <w:lang w:val="en-US" w:eastAsia="zh-CN" w:bidi="ar-SA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0"/>
                <w:lang w:val="en-US" w:eastAsia="zh-CN"/>
              </w:rPr>
              <w:t>400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0"/>
                <w:lang w:val="en-US" w:eastAsia="zh-CN" w:bidi="ar-SA"/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0"/>
                <w:lang w:val="en-US" w:eastAsia="zh-CN"/>
              </w:rPr>
              <w:t>13.8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pStyle w:val="2"/>
      </w:pPr>
      <w:bookmarkStart w:id="0" w:name="_GoBack"/>
      <w:bookmarkEnd w:id="0"/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69A52D5"/>
    <w:rsid w:val="089A2D51"/>
    <w:rsid w:val="0A906D90"/>
    <w:rsid w:val="0AFB1280"/>
    <w:rsid w:val="0B2226D0"/>
    <w:rsid w:val="0F470958"/>
    <w:rsid w:val="138F132E"/>
    <w:rsid w:val="140176C6"/>
    <w:rsid w:val="16DE231A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9909EB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0442BE"/>
    <w:rsid w:val="49C62559"/>
    <w:rsid w:val="4A635D44"/>
    <w:rsid w:val="4C912C37"/>
    <w:rsid w:val="51E203D9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Paragraphs>284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2026-07-04T07:23:06Z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