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1599"/>
        <w:gridCol w:w="585"/>
        <w:gridCol w:w="3848"/>
        <w:gridCol w:w="1132"/>
        <w:gridCol w:w="661"/>
        <w:gridCol w:w="1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5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159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  <w:t>2025-JQ06-W35</w:t>
            </w: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45</w:t>
            </w:r>
            <w:r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  <w:t xml:space="preserve"> 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全自动病原体核酸检测系统</w:t>
            </w:r>
          </w:p>
        </w:tc>
        <w:tc>
          <w:tcPr>
            <w:tcW w:w="11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68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19.8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基本要求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适用于HIV病毒载量核酸检测。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标准规范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NMPA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检测样本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可直接从原始标本中检测HIV病毒载量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光学通道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≥6组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检测通道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≥4个通道，≥2个模块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系统功能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系统可自动完成样品制备、纯化、基因提取、核酸扩增、荧光测定的全过程，并会自动判断并报告定量检测结果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试剂储运要求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2℃-28℃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PCR主机1台、条形码扫描器 1套、笔记本电脑1台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配套耗材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（试剂）要求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封闭耗材（试剂）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厂家承诺及注册证，若非同品牌需提供耗材(试剂)为设备生产企业指定唯一代工品牌的证明材料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2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10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验收标准方法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72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3"/>
              <w:rPr>
                <w:rFonts w:hint="eastAsia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▲标识的指标和“无标识”指标负偏离≥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项，投标企业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技术参数分值为0分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（1）★指标为必须响应指标，任意一项不满足要求即做废标处理；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（2）《采购需求表》备注已明确证明材料种类的，以所注内容或国家行政管理部门、专业检测机构出具的证明材料为准。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（4）无标识指标正偏离需参照上述要求提供技术支持材料，未提供的正偏离不予认可；</w:t>
            </w:r>
          </w:p>
        </w:tc>
      </w:tr>
    </w:tbl>
    <w:p/>
    <w:tbl>
      <w:tblPr>
        <w:tblStyle w:val="6"/>
        <w:tblW w:w="93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2153"/>
        <w:gridCol w:w="1050"/>
        <w:gridCol w:w="840"/>
        <w:gridCol w:w="263"/>
        <w:gridCol w:w="697"/>
        <w:gridCol w:w="1422"/>
        <w:gridCol w:w="14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3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</w:rPr>
              <w:t>全自动病原体核酸检测系统</w:t>
            </w:r>
          </w:p>
        </w:tc>
        <w:tc>
          <w:tcPr>
            <w:tcW w:w="11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580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2025-JQ06-W3545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47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7886" w:type="dxa"/>
            <w:gridSpan w:val="7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/>
                <w:iCs/>
                <w:kern w:val="0"/>
                <w:sz w:val="20"/>
                <w:lang w:bidi="ar"/>
              </w:rPr>
              <w:t>耗材（试剂）与设备为同一品牌或耗材（试剂）为设备生产企业指定的唯一代工品牌。试剂专机专用，单独包装，核酸提取、核酸扩增和目标检测在一个独立封闭的试剂盒内完成。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sz w:val="20"/>
              </w:rPr>
              <w:t>1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0"/>
              </w:rPr>
              <w:t>人类免疫缺陷病毒（HIV-1）核酸检测（实时荧光PCR法）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0"/>
              </w:rPr>
              <w:t>200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0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0"/>
              </w:rPr>
              <w:t>12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/</w:t>
            </w:r>
          </w:p>
        </w:tc>
      </w:tr>
    </w:tbl>
    <w:p>
      <w:pPr>
        <w:pStyle w:val="2"/>
      </w:pPr>
      <w:bookmarkStart w:id="0" w:name="_GoBack"/>
      <w:bookmarkEnd w:id="0"/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40176C6"/>
    <w:rsid w:val="16DE231A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9909EB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0442BE"/>
    <w:rsid w:val="49C62559"/>
    <w:rsid w:val="4A635D44"/>
    <w:rsid w:val="4C912C37"/>
    <w:rsid w:val="51E203D9"/>
    <w:rsid w:val="573D4FA0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1186</Words>
  <Characters>1253</Characters>
  <Paragraphs>284</Paragraphs>
  <TotalTime>0</TotalTime>
  <ScaleCrop>false</ScaleCrop>
  <LinksUpToDate>false</LinksUpToDate>
  <CharactersWithSpaces>1257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2026-07-04T07:27:54Z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