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eastAsia="zh-CN"/>
        </w:rPr>
      </w:pPr>
      <w:bookmarkStart w:id="0" w:name="_Toc128154367"/>
      <w:bookmarkStart w:id="1" w:name="_Toc132186974"/>
      <w:bookmarkStart w:id="2" w:name="_Toc32238"/>
      <w:bookmarkStart w:id="3" w:name="_Toc13168"/>
      <w:bookmarkStart w:id="4" w:name="_Toc22203"/>
      <w:bookmarkStart w:id="5" w:name="_Toc150421247"/>
      <w:bookmarkStart w:id="6" w:name="_Toc130888006"/>
      <w:bookmarkStart w:id="7" w:name="_Toc128470294"/>
      <w:bookmarkStart w:id="8" w:name="_Toc22977"/>
      <w:bookmarkStart w:id="9" w:name="_Toc152058290"/>
      <w:bookmarkStart w:id="10" w:name="_Toc14060"/>
      <w:bookmarkStart w:id="11" w:name="_Toc132191258"/>
      <w:bookmarkStart w:id="12" w:name="_Toc112681847"/>
      <w:bookmarkStart w:id="13" w:name="_Toc2406"/>
      <w:bookmarkStart w:id="14" w:name="_Toc112768493"/>
      <w:r>
        <w:rPr>
          <w:rFonts w:hint="eastAsia" w:ascii="黑体" w:hAnsi="黑体" w:cs="黑体"/>
          <w:b/>
          <w:bCs/>
          <w:color w:val="auto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0"/>
        <w:tblW w:w="499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1488"/>
        <w:gridCol w:w="887"/>
        <w:gridCol w:w="4632"/>
        <w:gridCol w:w="744"/>
        <w:gridCol w:w="12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bookmarkStart w:id="15" w:name="_Toc128150134"/>
            <w:bookmarkStart w:id="16" w:name="_Toc152057837"/>
            <w:bookmarkStart w:id="17" w:name="_Toc128150778"/>
            <w:bookmarkStart w:id="18" w:name="_Toc130887500"/>
            <w:bookmarkStart w:id="19" w:name="_Toc128397970"/>
            <w:bookmarkStart w:id="20" w:name="_Toc127820564"/>
            <w:bookmarkStart w:id="21" w:name="_Toc128151027"/>
            <w:bookmarkStart w:id="22" w:name="_Toc16735"/>
            <w:bookmarkStart w:id="23" w:name="_Toc150418428"/>
            <w:bookmarkStart w:id="24" w:name="_Toc132190634"/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需求名称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性质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需求具体内容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量化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 w:bidi="ar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交货时间、交货地点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eastAsia="zh"/>
              </w:rPr>
              <w:t>系统年度维保,维保期自签订合同之日起1年。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付款及结算方式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</w:rPr>
              <w:t>服务期满且验收合格后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eastAsia="zh-CN"/>
              </w:rPr>
              <w:t>支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</w:rPr>
              <w:t>付合同总金额100%。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知识产权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</w:tbl>
    <w:p>
      <w:pP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br w:type="page"/>
      </w:r>
      <w:bookmarkStart w:id="25" w:name="_GoBack"/>
      <w:bookmarkEnd w:id="25"/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cs="黑体"/>
          <w:b/>
          <w:bCs/>
          <w:color w:val="auto"/>
          <w:sz w:val="28"/>
          <w:szCs w:val="28"/>
          <w:lang w:eastAsia="zh-CN"/>
        </w:rPr>
        <w:t>二、</w:t>
      </w: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t>技术要求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Style w:val="10"/>
        <w:tblW w:w="499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1488"/>
        <w:gridCol w:w="887"/>
        <w:gridCol w:w="4632"/>
        <w:gridCol w:w="744"/>
        <w:gridCol w:w="12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需求名称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性质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需求具体内容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量化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基本要求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保障单位医保系统全年可用性大于99.9％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技术指标1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配备医保系统专属服务团队。指派至少一名技术人员作为日常联络接口人，提供7x24小时专人专线电话技术支持。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技术指标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医保应用补丁升级保障。提前告知系统补丁内容、接口变动、注意事项等内容；远程或指派工程师现场升级补丁；升级或更新后，必要时工程师现场保障系统稳定运行。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技术指标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▲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提供医保系统服务器7*24小时监控运维服务。包括但不限于医保服务器操作系统、数据库状态，数据同步情况，性能监测，系统安全等运维服务。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技术指标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▲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提供医保信息系统数据安全服务。数据库定期备份，确保数据安全；配合进行其他容灾、备份和灾备演练等工作，协助制定和演练医保业务应急方案。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技术指标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▲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提供医保系统个性化技术培训。包括但不限于医保系统运维知识、应用软件的操作、医保业务操作流程。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技术指标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"/>
              </w:rPr>
              <w:t>中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承诺电话响应时间</w:t>
            </w: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kern w:val="0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kern w:val="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kern w:val="0"/>
                <w:sz w:val="21"/>
                <w:szCs w:val="21"/>
              </w:rPr>
              <w:t>小时</w:t>
            </w: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dstrike w:val="0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如电话不能解决问题，工程师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小时内到达现场（现场响应时间 ≤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小时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含节假日。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技术指标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eastAsia="zh-CN"/>
              </w:rPr>
              <w:t>提供每月不少于</w:t>
            </w: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val="en-US" w:eastAsia="zh-CN"/>
              </w:rPr>
              <w:t>1次，每年不少于12次医保系统巡检工作</w:t>
            </w: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，并提交书面巡检报告。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技术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 w:bidi="ar"/>
              </w:rPr>
              <w:t>力量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具有有效的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质量管理体系认证证书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/>
              </w:rPr>
              <w:t>证书复印件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技术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 w:bidi="ar"/>
              </w:rPr>
              <w:t>力量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项目经理需具有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高级信息系统项目管理师资质证书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/>
              </w:rPr>
              <w:t>证书复印件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验收标准方法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" w:bidi="ar"/>
              </w:rPr>
              <w:t>按照院方卫生信息化项目验收管理办法验收。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完成所有服务内容，出具项目服务报告，包括监控记录、巡检记录、故障处理记录、系统升级记录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" w:bidi="ar"/>
              </w:rPr>
              <w:t>等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。</w:t>
            </w:r>
          </w:p>
        </w:tc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说明：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（1）★指标为必须响应指标，任意一项不满足要求即做废标处理；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（2）《采购需求表》备注已明确证明材料种类的，以所注内容或国家行政管理部门、专业检测机构出具的证明材料为准。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（3）★标识指标及▲标识指标须提供技术支持材料，支持材料包括但不限于以下任意一种或几种：产品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（4）无标识指标正偏离需参照上述要求提供技术支持材料，未提供的正偏离不予认可。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（5）加注“★”、“▲”号的技术指标均需投标企业提供证明材料（证明材料为“企业承诺的，在技术商务指标参数响应偏离表中体现即可）。</w:t>
      </w:r>
    </w:p>
    <w:sectPr>
      <w:headerReference r:id="rId3" w:type="default"/>
      <w:footerReference r:id="rId4" w:type="default"/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827858875"/>
      </w:sdtPr>
      <w:sdtContent/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sz w:val="21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46" name="WordPictureWatermark237255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WordPictureWatermark237255" descr="水印图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OWRjZTg3ZjBlNWMzYzE4YjA1Yzg1MzdmOWRhYTcifQ=="/>
  </w:docVars>
  <w:rsids>
    <w:rsidRoot w:val="00000000"/>
    <w:rsid w:val="1ECF5BC7"/>
    <w:rsid w:val="2671770B"/>
    <w:rsid w:val="41FD572E"/>
    <w:rsid w:val="477511A4"/>
    <w:rsid w:val="5A2D7B52"/>
    <w:rsid w:val="709B33FC"/>
    <w:rsid w:val="70EF696B"/>
    <w:rsid w:val="7D0B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 2"/>
    <w:basedOn w:val="5"/>
    <w:semiHidden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2025-05-12T11:58:00Z</dcterms:created>
  <dc:creator>DOCTOR</dc:creator>
  <cp:lastModifiedBy>DOCTOR</cp:lastModifiedBy>
  <dcterms:modified xsi:type="dcterms:W3CDTF">2026-07-07T12:06:52Z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8923F17829784343B44F927D21602F24_12</vt:lpwstr>
  </property>
</Properties>
</file>