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30661176"/>
      <w:bookmarkStart w:id="1" w:name="_Toc130888005"/>
      <w:bookmarkStart w:id="2" w:name="_Toc132191257"/>
      <w:bookmarkStart w:id="3" w:name="_Toc150421246"/>
      <w:bookmarkStart w:id="4" w:name="_Toc32050"/>
      <w:bookmarkStart w:id="5" w:name="_Toc28545"/>
      <w:bookmarkStart w:id="6" w:name="_Toc30564"/>
      <w:bookmarkStart w:id="7" w:name="_Toc21632"/>
      <w:bookmarkStart w:id="8" w:name="_Toc9692"/>
      <w:bookmarkStart w:id="9" w:name="_Toc132186973"/>
      <w:bookmarkStart w:id="10" w:name="_Toc112317781"/>
      <w:bookmarkStart w:id="11" w:name="_Toc128470293"/>
      <w:bookmarkStart w:id="12" w:name="_Toc128154366"/>
      <w:bookmarkStart w:id="13" w:name="_Toc152058289"/>
      <w:bookmarkStart w:id="14" w:name="_Toc112768491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3168"/>
      <w:bookmarkStart w:id="16" w:name="_Toc132191258"/>
      <w:bookmarkStart w:id="17" w:name="_Toc152058290"/>
      <w:bookmarkStart w:id="18" w:name="_Toc128154367"/>
      <w:bookmarkStart w:id="19" w:name="_Toc22977"/>
      <w:bookmarkStart w:id="20" w:name="_Toc132186974"/>
      <w:bookmarkStart w:id="21" w:name="_Toc14060"/>
      <w:bookmarkStart w:id="22" w:name="_Toc112681847"/>
      <w:bookmarkStart w:id="23" w:name="_Toc128470294"/>
      <w:bookmarkStart w:id="24" w:name="_Toc22203"/>
      <w:bookmarkStart w:id="25" w:name="_Toc32238"/>
      <w:bookmarkStart w:id="26" w:name="_Toc130888006"/>
      <w:bookmarkStart w:id="27" w:name="_Toc112768493"/>
      <w:bookmarkStart w:id="28" w:name="_Toc150421247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合同签订后2个月内交付，交付地点由甲方指定。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提供免费保修服务不少于3年，全年故障停机时间不高于5%（按365日/年计算)。故障停机每超出1天，按两倍时间延保。中标后签合同时提供原厂售后服务承诺。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提供不少于2人次、3天的工程师维修培训。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44" w:name="_Toc128150134"/>
            <w:bookmarkStart w:id="45" w:name="_Toc128397970"/>
            <w:bookmarkStart w:id="46" w:name="_Toc127820564"/>
            <w:bookmarkStart w:id="47" w:name="_Toc130887500"/>
            <w:bookmarkStart w:id="48" w:name="_Toc128151027"/>
            <w:bookmarkStart w:id="49" w:name="_Toc132190634"/>
            <w:bookmarkStart w:id="50" w:name="_Toc128150778"/>
            <w:bookmarkStart w:id="51" w:name="_Toc150418428"/>
            <w:bookmarkStart w:id="52" w:name="_Toc152057837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维修响应时间≤4小时，维修到达现场时间≤24小时。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由供应商承诺设备零配件供应≥8年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投标供应商应当保证采购单位在使用该物资或其任何一部分时，不受第三方侵权指控。同时，投标供应商不得向第三方泄露采购机构提供的技术文件等材料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693"/>
        <w:gridCol w:w="849"/>
        <w:gridCol w:w="3978"/>
        <w:gridCol w:w="834"/>
        <w:gridCol w:w="1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用于脂肪酸检测、残留溶剂检测等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说明书或产品彩页或技术白皮书或相关证明材料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柱箱温度控制范围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涵盖室温+3℃ ～ 450℃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程序升温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≥31阶32平台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说明书或产品彩页或技术白皮书或相关证明材料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可设定最大升温速率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≥240℃/min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触摸屏操控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可通过主机触摸屏一键设置柱温箱降温速率，降温速率分为高、中、低三档和自定义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柱温箱设置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柱温箱内置耐高温智能灯，柱箱门开启时自动点亮，照亮柱箱内空间方便安装和更换色谱柱。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SPL进样口安装数量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主机可同时安装≥3个SPL进样口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说明书或产品彩页或技术白皮书或相关证明材料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检测器安装数量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主机可同时安装≥3个检测器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说明书或产品彩页或技术白皮书或相关证明材料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Eco模式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主机具有Eco节能模式及自动开始/关闭功能，实验完成后可使仪器进入Eco模式或关闭系统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分流不分流进样口最高温度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≥450℃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压力设定范围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（0～150）psi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压力控制精度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≤0.001psi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分流比设定范围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最大可达12500:1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说明书或产品彩页或技术白皮书或相关证明材料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流量设定范围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涵盖（0 ～ 1280）mL/min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载气控制模式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至少包括恒流、恒压、恒线速度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说明书或产品彩页或技术白皮书或相关证明材料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气体智选阀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可后期升级配置气体智选阀，实现SPL进样单元同时连接两种气体类型，分析时可根据工作需要在软件中进行两种类型载气的自动无缝切换。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FID检测器最高使用温度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≥450℃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FID检测限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＜1.6×10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-12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 C/s ( 十二烷 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国家级计量检定部门的检测报告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FID数据采集速率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企业承诺或产品彩页或技术白皮书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顶空进样器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与气相色谱主机为同一品牌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企业承诺或产品彩页或技术白皮书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顶空进样位数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顶空加热位数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传输线温度范围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涵盖室温+（10℃-225℃）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恒温炉温度范围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涵盖室温+（10℃-225℃）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样品瓶规格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10mL和20mL样品瓶可同时使用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样品瓶恒温时间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涵盖0.00 ～ 999.99 (min)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液体进样器进样位数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数据采集和数据解析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可针对工作流程设定软件操作界面。快速批处理窗口将系统中的样品瓶架图形化显示。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软件具有成本（电力、气源）节约量和二氧化碳减排量的实时显示功能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说明书或产品彩页或技术白皮书或相关证明材料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主机传输数据接口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主机可选择使用USB接口，LAN接口或RS-232C接口传输数据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可视化数据处理交互屏幕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显示器尺寸≥26英寸，分辨率≥2560*1440像素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可视化数据处理交互主机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主机硬盘≥1TSSD，内存≥16GB，处理器≥i7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气相主机1套（含SPL进样口，FID检测器）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液体进样器1套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顶空进样器1套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控制软件1套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数据处理工作站1套（含显示屏和主机）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气源1套（空气发生器和氢气发生器）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配套毛细管色谱柱3根，样品瓶500个，衬管10根，隔垫75个，石墨压环20个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开放耗材（试剂）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 w:ascii="黑体" w:hAnsi="黑体" w:eastAsia="宋体" w:cs="黑体"/>
          <w:b w:val="0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Start w:id="53" w:name="_GoBack"/>
      <w:bookmarkEnd w:id="53"/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2A16853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025B7C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3C3174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A1738F0"/>
    <w:rsid w:val="2A4420FE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3F013C"/>
    <w:rsid w:val="49494CF1"/>
    <w:rsid w:val="49730518"/>
    <w:rsid w:val="49BB4D29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9E12E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65185C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6DED23D9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110</Pages>
  <Words>41848</Words>
  <Characters>43547</Characters>
  <Lines>377</Lines>
  <Paragraphs>106</Paragraphs>
  <TotalTime>2</TotalTime>
  <ScaleCrop>false</ScaleCrop>
  <LinksUpToDate>false</LinksUpToDate>
  <CharactersWithSpaces>48002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2026-02-05T08:23:00Z</cp:lastPrinted>
  <dcterms:modified xsi:type="dcterms:W3CDTF">2026-07-07T09:20:02Z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