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3848"/>
        <w:gridCol w:w="1132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5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2025-JQ06-W3472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全自动化学发光免疫分析仪</w:t>
            </w:r>
          </w:p>
        </w:tc>
        <w:tc>
          <w:tcPr>
            <w:tcW w:w="11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8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能够满足检验科常规免疫分析检测。传染性疾病检测、性腺类激素、甲状腺类激素、肿瘤类检测、贫血类检测、心脏标志物检测、代谢性疾病检测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设备具备CFDA认证和CE认证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注册证及CE认证材料（体现所投产品系列或型号，需中文翻译件）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化学发光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至少包含血清、血浆、尿液、全血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≥400测试/每小时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试剂通道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≥30个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样本位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≥100个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加样系统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钢针加样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样品探测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样本针具有具备液面探测、压力监测、凝块和气泡检出功能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急诊样品可以随时加入，无需停机操作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试剂装载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可以不停机装载试剂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试剂规格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可以根据检测量，提供不同包装规格的试剂盒(规格越多越优)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试剂预处理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试剂开盖即用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试剂位冷藏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满足冷链要求，机上自带试剂冷藏功能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定标方式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可以根据项目需求提供不同的定标方式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设备长度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≤3m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ß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人绒毛膜促性腺激素检测试剂最高检测范围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≥5000mIU/ml(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无需预稀释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厂家承诺及注册证，若非同品牌需提供耗材(试剂)为设备生产企业指定唯一代工品牌的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主机1台，国产操作电脑 1台，国产打印机1台，UPS（断电保护至少1小时）1台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2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  <w:t>“参数指标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正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  <w:t>负偏离情况”项得0分</w:t>
            </w:r>
          </w:p>
          <w:p>
            <w:pPr>
              <w:pStyle w:val="3"/>
              <w:rPr>
                <w:rFonts w:hint="eastAsi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  <w:t>“参数指标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正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  <w:t>负偏离情况”项得0分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（4）无标识指标正偏离需参照上述要求提供技术支持材料，未提供的正偏离不予认可；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3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263"/>
        <w:gridCol w:w="697"/>
        <w:gridCol w:w="1422"/>
        <w:gridCol w:w="1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全自动化学发光免疫分析仪</w:t>
            </w:r>
          </w:p>
        </w:tc>
        <w:tc>
          <w:tcPr>
            <w:tcW w:w="11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8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2025-JQ06-W3472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耗材（试剂）与设备为同一品牌或耗材试剂为设备生产企业指定的唯一代工品牌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丙型肝炎病毒抗体测定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259.2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甲型肝炎病毒IgM抗体测定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2.04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鳞状上皮细胞癌抗原测定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梅毒螺旋体抗体测定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108500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156.023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人类免疫缺陷病毒抗原及抗体联合测定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272.16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6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胃泌素释放肽前体测定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乙型肝炎病毒e抗体测定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97.911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乙型肝炎病毒e抗原测定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103000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101.867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乙型肝炎病毒表面抗体测定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32.3141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乙型肝炎病毒表面抗原定量测定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110500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132.6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11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乙型肝炎病毒核心抗体测定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102500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109.47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异常凝血酶原(PIVKA-II)测定 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845C0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1137</Words>
  <Characters>1190</Characters>
  <Paragraphs>284</Paragraphs>
  <TotalTime>0</TotalTime>
  <ScaleCrop>false</ScaleCrop>
  <LinksUpToDate>false</LinksUpToDate>
  <CharactersWithSpaces>1204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2026-07-08T11:54:02Z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