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center"/>
        <w:textAlignment w:val="center"/>
        <w:outlineLvl w:val="9"/>
        <w:rPr>
          <w:rFonts w:ascii="方正小标宋简体" w:hAnsi="方正小标宋简体" w:eastAsia="方正小标宋简体" w:cs="方正小标宋简体"/>
          <w:i w:val="0"/>
          <w:color w:val="000000"/>
          <w:sz w:val="32"/>
          <w:szCs w:val="32"/>
          <w:u w:val="none"/>
        </w:rPr>
      </w:pPr>
      <w:r>
        <w:rPr>
          <w:rFonts w:hint="eastAsia" w:ascii="方正小标宋简体" w:hAnsi="方正小标宋简体" w:eastAsia="方正小标宋简体" w:cs="方正小标宋简体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采购需求表（服务类）</w:t>
      </w:r>
    </w:p>
    <w:tbl>
      <w:tblPr>
        <w:tblW w:w="9846" w:type="dxa"/>
        <w:jc w:val="center"/>
        <w:tblInd w:w="63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07"/>
        <w:gridCol w:w="418"/>
        <w:gridCol w:w="731"/>
        <w:gridCol w:w="330"/>
        <w:gridCol w:w="535"/>
        <w:gridCol w:w="560"/>
        <w:gridCol w:w="900"/>
        <w:gridCol w:w="3810"/>
        <w:gridCol w:w="630"/>
        <w:gridCol w:w="375"/>
        <w:gridCol w:w="285"/>
        <w:gridCol w:w="8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8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widowControl/>
              <w:adjustRightInd w:val="0"/>
              <w:snapToGrid w:val="0"/>
              <w:spacing w:line="220" w:lineRule="exact"/>
              <w:ind w:left="-160" w:leftChars="-50" w:right="-160" w:rightChars="-50"/>
              <w:jc w:val="both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项目</w:t>
            </w:r>
          </w:p>
          <w:p>
            <w:pPr>
              <w:widowControl/>
              <w:adjustRightInd w:val="0"/>
              <w:snapToGrid w:val="0"/>
              <w:spacing w:line="220" w:lineRule="exact"/>
              <w:ind w:left="-160" w:leftChars="-50" w:right="-160" w:rightChars="-50"/>
              <w:jc w:val="both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编号</w:t>
            </w:r>
          </w:p>
        </w:tc>
        <w:tc>
          <w:tcPr>
            <w:tcW w:w="21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  <w:t>2026-JQ06-F3033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  <w:t>名称</w:t>
            </w:r>
          </w:p>
        </w:tc>
        <w:tc>
          <w:tcPr>
            <w:tcW w:w="3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VX3733-SYS DR 维保</w:t>
            </w:r>
          </w:p>
        </w:tc>
        <w:tc>
          <w:tcPr>
            <w:tcW w:w="12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widowControl/>
              <w:adjustRightInd w:val="0"/>
              <w:snapToGrid w:val="0"/>
              <w:spacing w:line="220" w:lineRule="exact"/>
              <w:ind w:left="-160" w:leftChars="-50" w:right="-160" w:rightChars="-50"/>
              <w:jc w:val="both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  <w:t>最高限价</w:t>
            </w:r>
          </w:p>
          <w:p>
            <w:pPr>
              <w:widowControl/>
              <w:adjustRightInd w:val="0"/>
              <w:snapToGrid w:val="0"/>
              <w:spacing w:line="220" w:lineRule="exact"/>
              <w:ind w:left="-160" w:leftChars="-50" w:right="-160" w:rightChars="-50"/>
              <w:jc w:val="both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  <w:t>（万元）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  <w:lang w:val="en-US" w:eastAsia="zh-CN"/>
              </w:rPr>
              <w:t>37.2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11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  <w:t>需求名称</w:t>
            </w:r>
          </w:p>
        </w:tc>
        <w:tc>
          <w:tcPr>
            <w:tcW w:w="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  <w:t>参数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  <w:t>性质</w:t>
            </w:r>
          </w:p>
        </w:tc>
        <w:tc>
          <w:tcPr>
            <w:tcW w:w="64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  <w:t>需求具体内容</w:t>
            </w:r>
          </w:p>
        </w:tc>
        <w:tc>
          <w:tcPr>
            <w:tcW w:w="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  <w:t>是否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  <w:t>量化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984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4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锐科VX3733-SYS DR整机全保（包含球管及所有软件和硬件，不包含第三方设备）</w:t>
            </w:r>
          </w:p>
        </w:tc>
        <w:tc>
          <w:tcPr>
            <w:tcW w:w="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资格要求</w:t>
            </w:r>
          </w:p>
        </w:tc>
        <w:tc>
          <w:tcPr>
            <w:tcW w:w="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4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97"/>
                <w:kern w:val="0"/>
                <w:sz w:val="20"/>
                <w:szCs w:val="20"/>
                <w:u w:val="none"/>
                <w:lang w:val="en-US" w:eastAsia="zh-CN" w:bidi="ar"/>
              </w:rPr>
              <w:t>投标人须具有医疗设备维修企业资格（即营业执照的经营范围包含医疗器械维修或专用设备维修），并在过去5年内无重大维修事故及法律纠纷发生</w:t>
            </w:r>
          </w:p>
        </w:tc>
        <w:tc>
          <w:tcPr>
            <w:tcW w:w="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90"/>
                <w:kern w:val="0"/>
                <w:sz w:val="20"/>
                <w:szCs w:val="20"/>
                <w:u w:val="none"/>
                <w:lang w:val="en-US" w:eastAsia="zh-CN" w:bidi="ar"/>
              </w:rPr>
              <w:t>营业执照，过去五年内无重大事故及法律纠纷承诺书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市场实力</w:t>
            </w:r>
          </w:p>
        </w:tc>
        <w:tc>
          <w:tcPr>
            <w:tcW w:w="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64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投标人或实际服务机构须具备三甲医院同品牌DR保修经验≥10家</w:t>
            </w:r>
          </w:p>
        </w:tc>
        <w:tc>
          <w:tcPr>
            <w:tcW w:w="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提供合同业绩材料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开机率要求</w:t>
            </w:r>
          </w:p>
        </w:tc>
        <w:tc>
          <w:tcPr>
            <w:tcW w:w="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4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开机率≥95%（全年按365天计算，若不能达到规定开机天数，按超过部分两倍顺延保修期</w:t>
            </w:r>
          </w:p>
        </w:tc>
        <w:tc>
          <w:tcPr>
            <w:tcW w:w="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技术实力</w:t>
            </w:r>
          </w:p>
        </w:tc>
        <w:tc>
          <w:tcPr>
            <w:tcW w:w="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64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投标人或实际服务机构在北京市内设有长期稳定的服务机构≥2年，配备全职专业维修工程师≥4名</w:t>
            </w:r>
          </w:p>
        </w:tc>
        <w:tc>
          <w:tcPr>
            <w:tcW w:w="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保养要求</w:t>
            </w:r>
          </w:p>
        </w:tc>
        <w:tc>
          <w:tcPr>
            <w:tcW w:w="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4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提供每季度≥1次维护保养，维护保养记录（电子纸质各一份，包括技术参数、主要部件状态等）向医学工程室提交存档</w:t>
            </w:r>
          </w:p>
        </w:tc>
        <w:tc>
          <w:tcPr>
            <w:tcW w:w="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设备日常维护要求</w:t>
            </w:r>
          </w:p>
        </w:tc>
        <w:tc>
          <w:tcPr>
            <w:tcW w:w="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4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中标人须提供含节假日7天×24小时的保修服务</w:t>
            </w:r>
          </w:p>
        </w:tc>
        <w:tc>
          <w:tcPr>
            <w:tcW w:w="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风险防控</w:t>
            </w:r>
          </w:p>
        </w:tc>
        <w:tc>
          <w:tcPr>
            <w:tcW w:w="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4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由于服务机构维修、保养、操作等原因给设备和人员带来伤害，所造成的经济损失和法律责任由投标人全部承担</w:t>
            </w:r>
          </w:p>
        </w:tc>
        <w:tc>
          <w:tcPr>
            <w:tcW w:w="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1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专业工具</w:t>
            </w:r>
          </w:p>
        </w:tc>
        <w:tc>
          <w:tcPr>
            <w:tcW w:w="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4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实际服务提供商需具有经校正的维修、保养设备的专业维修工具、仪器</w:t>
            </w:r>
          </w:p>
        </w:tc>
        <w:tc>
          <w:tcPr>
            <w:tcW w:w="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90"/>
                <w:kern w:val="0"/>
                <w:sz w:val="20"/>
                <w:szCs w:val="20"/>
                <w:u w:val="none"/>
                <w:lang w:val="en-US" w:eastAsia="zh-CN" w:bidi="ar"/>
              </w:rPr>
              <w:t>设备服务要求</w:t>
            </w:r>
          </w:p>
        </w:tc>
        <w:tc>
          <w:tcPr>
            <w:tcW w:w="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4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每次服务需通知医学工程室工程师参与</w:t>
            </w:r>
          </w:p>
        </w:tc>
        <w:tc>
          <w:tcPr>
            <w:tcW w:w="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1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球管要求</w:t>
            </w:r>
          </w:p>
        </w:tc>
        <w:tc>
          <w:tcPr>
            <w:tcW w:w="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4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所更换的球管必须为原厂全新球管并提供报关单或合格证</w:t>
            </w:r>
          </w:p>
        </w:tc>
        <w:tc>
          <w:tcPr>
            <w:tcW w:w="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1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零备件要求</w:t>
            </w:r>
          </w:p>
        </w:tc>
        <w:tc>
          <w:tcPr>
            <w:tcW w:w="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4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所更换的备件必须为原厂全新零配件或原厂检验合格的零配件</w:t>
            </w:r>
          </w:p>
        </w:tc>
        <w:tc>
          <w:tcPr>
            <w:tcW w:w="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1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服务能力</w:t>
            </w:r>
          </w:p>
        </w:tc>
        <w:tc>
          <w:tcPr>
            <w:tcW w:w="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64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投标人或实际服务机构近3年具备更换DR放射设备核心备件的服务能力，如：球管。并提供近三年更换核心备件或核心技术服务合同记录≥3份</w:t>
            </w:r>
          </w:p>
        </w:tc>
        <w:tc>
          <w:tcPr>
            <w:tcW w:w="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90"/>
                <w:kern w:val="0"/>
                <w:sz w:val="20"/>
                <w:szCs w:val="20"/>
                <w:u w:val="none"/>
                <w:lang w:val="en-US" w:eastAsia="zh-CN" w:bidi="ar"/>
              </w:rPr>
              <w:t>合同业绩材料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1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90"/>
                <w:kern w:val="0"/>
                <w:sz w:val="20"/>
                <w:szCs w:val="20"/>
                <w:u w:val="none"/>
                <w:lang w:val="en-US" w:eastAsia="zh-CN" w:bidi="ar"/>
              </w:rPr>
              <w:t>安全质量保证</w:t>
            </w:r>
          </w:p>
        </w:tc>
        <w:tc>
          <w:tcPr>
            <w:tcW w:w="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64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投标人具备ISO9001、ISO13485、ISO14001、ISO45001认证</w:t>
            </w:r>
          </w:p>
        </w:tc>
        <w:tc>
          <w:tcPr>
            <w:tcW w:w="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认证证书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984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服务期限</w:t>
            </w:r>
          </w:p>
        </w:tc>
        <w:tc>
          <w:tcPr>
            <w:tcW w:w="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4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签订合同日起3年</w:t>
            </w:r>
          </w:p>
        </w:tc>
        <w:tc>
          <w:tcPr>
            <w:tcW w:w="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付款及结算方式</w:t>
            </w:r>
          </w:p>
        </w:tc>
        <w:tc>
          <w:tcPr>
            <w:tcW w:w="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4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97"/>
                <w:kern w:val="0"/>
                <w:sz w:val="20"/>
                <w:szCs w:val="20"/>
                <w:u w:val="none"/>
                <w:lang w:val="en-US" w:eastAsia="zh-CN" w:bidi="ar"/>
              </w:rPr>
              <w:t>合同期限内，每年分两阶段付款，第一阶段，合同签订生效满半年支付当年维保费用的50%，第二阶段，合同生效满1年，支付当年维保费剩余的50%</w:t>
            </w:r>
          </w:p>
        </w:tc>
        <w:tc>
          <w:tcPr>
            <w:tcW w:w="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4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提供不少于1人次、2天的工程师培训</w:t>
            </w:r>
          </w:p>
        </w:tc>
        <w:tc>
          <w:tcPr>
            <w:tcW w:w="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(响应时间)</w:t>
            </w:r>
          </w:p>
        </w:tc>
        <w:tc>
          <w:tcPr>
            <w:tcW w:w="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4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维修响应时间≤4小时，维修到达现场时间≤24小时；无需更换零配件的维修完成时间≤48小时。</w:t>
            </w:r>
          </w:p>
        </w:tc>
        <w:tc>
          <w:tcPr>
            <w:tcW w:w="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984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采购实施建议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0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技术偏离要求</w:t>
            </w:r>
          </w:p>
        </w:tc>
        <w:tc>
          <w:tcPr>
            <w:tcW w:w="742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▲标识的指标负偏离≥3项，投标企业技术分值为0分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984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color w:val="FF000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FF0000"/>
                <w:sz w:val="20"/>
                <w:szCs w:val="20"/>
              </w:rPr>
              <w:t>注：1.★指标为必须响应指标，任意一项不满足要求即做废标处理；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400" w:firstLineChars="20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20"/>
                <w:szCs w:val="20"/>
              </w:rPr>
              <w:t>2.★及▲标识的指标，需逐条按备注要求提供证明材料，未明确的可由企业提供承诺；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方正大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modern"/>
    <w:pitch w:val="default"/>
    <w:sig w:usb0="80000287" w:usb1="280F3C52" w:usb2="00000016" w:usb3="00000000" w:csb0="0004001F" w:csb1="00000000"/>
  </w:font>
  <w:font w:name="Times New Roman'''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DengXian">
    <w:altName w:val="宋体"/>
    <w:panose1 w:val="02010600030101010101"/>
    <w:charset w:val="86"/>
    <w:family w:val="modern"/>
    <w:pitch w:val="default"/>
    <w:sig w:usb0="00000000" w:usb1="00000000" w:usb2="00000010" w:usb3="00000000" w:csb0="0004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书体坊王学勤钢笔行书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书体坊米芾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剪纸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剪纸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北魏楷书简体">
    <w:altName w:val="楷体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北魏楷书繁体">
    <w:altName w:val="楷体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大黑繁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宋黑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祥隶简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祥隶繁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倩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圆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粗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胖头鱼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铁筋隶书简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铁筋隶书繁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隶书繁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静蕾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简中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行楷">
    <w:altName w:val="楷体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隶书">
    <w:altName w:val="隶书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鼎古印体繁">
    <w:altName w:val="Segoe Print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经典繁行书">
    <w:altName w:val="宋体"/>
    <w:panose1 w:val="02010609010101010101"/>
    <w:charset w:val="86"/>
    <w:family w:val="auto"/>
    <w:pitch w:val="default"/>
    <w:sig w:usb0="00000000" w:usb1="00000000" w:usb2="0000001E" w:usb3="00000000" w:csb0="2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方正仿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FangSong_GB2312">
    <w:altName w:val="仿宋_GB2312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大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@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@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@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@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TimesNewRomanPSMT">
    <w:altName w:val="Times New Roman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 Symbol">
    <w:panose1 w:val="020B0502040204020203"/>
    <w:charset w:val="00"/>
    <w:family w:val="swiss"/>
    <w:pitch w:val="default"/>
    <w:sig w:usb0="8000006F" w:usb1="1200FBEF" w:usb2="0064C000" w:usb3="00000002" w:csb0="00000001" w:csb1="4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DejaVu San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方正书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方正黑体_GBK">
    <w:altName w:val="Arial Unicode MS"/>
    <w:panose1 w:val="02000000000000000000"/>
    <w:charset w:val="00"/>
    <w:family w:val="auto"/>
    <w:pitch w:val="default"/>
    <w:sig w:usb0="00000000" w:usb1="00000000" w:usb2="00000000" w:usb3="00000000" w:csb0="00040000" w:csb1="00000000"/>
  </w:font>
  <w:font w:name="汉仪书宋二KW">
    <w:altName w:val="宋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苹方-简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Helvetica Neue">
    <w:altName w:val="Corbel"/>
    <w:panose1 w:val="02000503000000020004"/>
    <w:charset w:val="00"/>
    <w:family w:val="auto"/>
    <w:pitch w:val="default"/>
    <w:sig w:usb0="00000000" w:usb1="00000000" w:usb2="00000010" w:usb3="00000000" w:csb0="00000000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641DD6"/>
    <w:rsid w:val="19CA0BAD"/>
    <w:rsid w:val="20DE52D5"/>
    <w:rsid w:val="364E2173"/>
    <w:rsid w:val="479F61AB"/>
    <w:rsid w:val="6134384D"/>
    <w:rsid w:val="64B4110C"/>
    <w:rsid w:val="671D6288"/>
    <w:rsid w:val="74641DD6"/>
    <w:rsid w:val="7C9D0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880" w:firstLineChars="200"/>
      <w:jc w:val="left"/>
    </w:pPr>
    <w:rPr>
      <w:rFonts w:eastAsia="仿宋_GB2312" w:asciiTheme="minorAscii" w:hAnsiTheme="minorAscii" w:cstheme="minorBidi"/>
      <w:kern w:val="2"/>
      <w:sz w:val="32"/>
      <w:szCs w:val="24"/>
      <w:lang w:val="en-US" w:eastAsia="zh-CN" w:bidi="ar-SA"/>
    </w:rPr>
  </w:style>
  <w:style w:type="paragraph" w:styleId="3">
    <w:name w:val="heading 1"/>
    <w:basedOn w:val="4"/>
    <w:next w:val="1"/>
    <w:qFormat/>
    <w:uiPriority w:val="0"/>
    <w:pPr>
      <w:keepNext/>
      <w:keepLines/>
      <w:spacing w:beforeLines="0" w:beforeAutospacing="0" w:afterLines="0" w:afterAutospacing="0" w:line="560" w:lineRule="exact"/>
      <w:outlineLvl w:val="0"/>
    </w:pPr>
    <w:rPr>
      <w:rFonts w:ascii="Times New Roman" w:hAnsi="Times New Roman" w:eastAsia="方正小标宋简体" w:cs="Times New Roman"/>
      <w:b w:val="0"/>
      <w:kern w:val="44"/>
      <w:sz w:val="44"/>
    </w:rPr>
  </w:style>
  <w:style w:type="paragraph" w:styleId="5">
    <w:name w:val="heading 2"/>
    <w:basedOn w:val="1"/>
    <w:next w:val="1"/>
    <w:unhideWhenUsed/>
    <w:qFormat/>
    <w:uiPriority w:val="0"/>
    <w:pPr>
      <w:spacing w:beforeAutospacing="0" w:afterAutospacing="0" w:line="560" w:lineRule="exact"/>
      <w:ind w:firstLine="880" w:firstLineChars="200"/>
      <w:jc w:val="left"/>
      <w:outlineLvl w:val="1"/>
    </w:pPr>
    <w:rPr>
      <w:rFonts w:hint="eastAsia" w:ascii="宋体" w:hAnsi="宋体" w:eastAsia="黑体" w:cs="Times New Roman"/>
      <w:kern w:val="0"/>
      <w:szCs w:val="36"/>
    </w:rPr>
  </w:style>
  <w:style w:type="paragraph" w:styleId="6">
    <w:name w:val="heading 3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2"/>
    </w:pPr>
    <w:rPr>
      <w:b/>
    </w:rPr>
  </w:style>
  <w:style w:type="character" w:default="1" w:styleId="7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9">
    <w:name w:val="一级标题"/>
    <w:basedOn w:val="3"/>
    <w:next w:val="1"/>
    <w:qFormat/>
    <w:uiPriority w:val="0"/>
    <w:pPr>
      <w:spacing w:line="560" w:lineRule="exact"/>
      <w:ind w:firstLine="880" w:firstLineChars="200"/>
    </w:pPr>
    <w:rPr>
      <w:rFonts w:eastAsia="黑体" w:asciiTheme="minorAscii" w:hAnsiTheme="minorAscii"/>
      <w:sz w:val="32"/>
    </w:rPr>
  </w:style>
  <w:style w:type="paragraph" w:customStyle="1" w:styleId="10">
    <w:name w:val="样式1"/>
    <w:basedOn w:val="3"/>
    <w:next w:val="1"/>
    <w:qFormat/>
    <w:uiPriority w:val="0"/>
    <w:pPr>
      <w:spacing w:line="560" w:lineRule="exact"/>
      <w:ind w:firstLine="880" w:firstLineChars="200"/>
      <w:jc w:val="left"/>
    </w:pPr>
    <w:rPr>
      <w:rFonts w:eastAsia="黑体" w:asciiTheme="minorAscii" w:hAnsiTheme="minorAscii"/>
      <w:sz w:val="32"/>
    </w:rPr>
  </w:style>
  <w:style w:type="character" w:customStyle="1" w:styleId="11">
    <w:name w:val="font31"/>
    <w:basedOn w:val="7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21"/>
    <w:basedOn w:val="7"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2026-06-11T01:41:00Z</dcterms:created>
  <dc:creator>admin</dc:creator>
  <cp:lastModifiedBy>admin</cp:lastModifiedBy>
  <dcterms:modified xsi:type="dcterms:W3CDTF">2026-06-11T02:16:16Z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