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560" w:lineRule="exact"/>
        <w:ind w:firstLine="560" w:firstLineChars="200"/>
        <w:rPr>
          <w:rFonts w:hint="eastAsia" w:ascii="黑体" w:hAnsi="黑体" w:cs="黑体"/>
          <w:b w:val="0"/>
          <w:sz w:val="28"/>
          <w:szCs w:val="28"/>
        </w:rPr>
      </w:pPr>
      <w:bookmarkStart w:id="0" w:name="_Toc128470294"/>
      <w:bookmarkStart w:id="1" w:name="_Toc150421247"/>
      <w:bookmarkStart w:id="2" w:name="_Toc112768493"/>
      <w:bookmarkStart w:id="3" w:name="_Toc22977"/>
      <w:bookmarkStart w:id="4" w:name="_Toc132191258"/>
      <w:bookmarkStart w:id="5" w:name="_Toc14060"/>
      <w:bookmarkStart w:id="6" w:name="_Toc32238"/>
      <w:bookmarkStart w:id="7" w:name="_Toc9824"/>
      <w:bookmarkStart w:id="8" w:name="_Toc112681847"/>
      <w:bookmarkStart w:id="9" w:name="_Toc128154367"/>
      <w:bookmarkStart w:id="10" w:name="_Toc6602"/>
      <w:bookmarkStart w:id="11" w:name="_Toc13168"/>
      <w:bookmarkStart w:id="12" w:name="_Toc132186974"/>
      <w:bookmarkStart w:id="13" w:name="_Toc22203"/>
      <w:bookmarkStart w:id="14" w:name="_Toc130888006"/>
      <w:bookmarkStart w:id="15" w:name="_Toc285612596"/>
      <w:r>
        <w:rPr>
          <w:rFonts w:hint="eastAsia" w:ascii="黑体" w:hAnsi="黑体" w:cs="黑体"/>
          <w:b w:val="0"/>
          <w:sz w:val="28"/>
          <w:szCs w:val="28"/>
        </w:rPr>
        <w:t>一、商务要求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bl>
      <w:tblPr>
        <w:tblStyle w:val="4"/>
        <w:tblW w:w="0" w:type="auto"/>
        <w:tblInd w:w="0" w:type="dxa"/>
        <w:shd w:val="clear" w:color="auto" w:fill="auto"/>
        <w:tblLayout w:type="autofit"/>
        <w:tblCellMar>
          <w:top w:w="0" w:type="dxa"/>
          <w:left w:w="0" w:type="dxa"/>
          <w:bottom w:w="0" w:type="dxa"/>
          <w:right w:w="0" w:type="dxa"/>
        </w:tblCellMar>
      </w:tblPr>
      <w:tblGrid>
        <w:gridCol w:w="482"/>
        <w:gridCol w:w="806"/>
        <w:gridCol w:w="637"/>
        <w:gridCol w:w="5981"/>
        <w:gridCol w:w="430"/>
      </w:tblGrid>
      <w:tr>
        <w:tblPrEx>
          <w:shd w:val="clear" w:color="auto" w:fill="auto"/>
          <w:tblCellMar>
            <w:top w:w="0" w:type="dxa"/>
            <w:left w:w="0" w:type="dxa"/>
            <w:bottom w:w="0" w:type="dxa"/>
            <w:right w:w="0" w:type="dxa"/>
          </w:tblCellMar>
        </w:tblPrEx>
        <w:trPr>
          <w:trHeight w:val="582"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序号</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需求名称</w:t>
            </w:r>
          </w:p>
        </w:tc>
        <w:tc>
          <w:tcPr>
            <w:tcW w:w="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参数性质</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需求具体内容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备注（证明材料等其他要求）</w:t>
            </w:r>
          </w:p>
        </w:tc>
      </w:tr>
      <w:tr>
        <w:tblPrEx>
          <w:tblCellMar>
            <w:top w:w="0" w:type="dxa"/>
            <w:left w:w="0" w:type="dxa"/>
            <w:bottom w:w="0" w:type="dxa"/>
            <w:right w:w="0" w:type="dxa"/>
          </w:tblCellMar>
        </w:tblPrEx>
        <w:trPr>
          <w:trHeight w:val="75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交货时间、交货地点</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合同签订后接甲方通知2个月内交付，交付地点由甲方指定。</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90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2</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付款及结算方式</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签订合同付（预付）0%，物资到货（服务完成）验收合格并协助办理资产入库后，6个月内付95%。验收合格且出质保期后无质量问题支付剩余5%（不超过5%）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90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3</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履约保证金和质量保证金</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验收合格且出质保期后无质量问题支付剩余5%（不超过5%）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75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产品包装和运输要求</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按照国家、行业相关标准规范，产品确保包装完好，运输确保不对产品造成损伤。</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66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5</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售后服务1</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（质保）</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原厂保修年限不低于3年，全年故障停机时间不高于5%（按365日/年计算)。</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原厂授权或企业承诺</w:t>
            </w:r>
          </w:p>
        </w:tc>
      </w:tr>
      <w:tr>
        <w:tblPrEx>
          <w:tblCellMar>
            <w:top w:w="0" w:type="dxa"/>
            <w:left w:w="0" w:type="dxa"/>
            <w:bottom w:w="0" w:type="dxa"/>
            <w:right w:w="0" w:type="dxa"/>
          </w:tblCellMar>
        </w:tblPrEx>
        <w:trPr>
          <w:trHeight w:val="600"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6</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售后服务2</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（质保）</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保修期内免费提供定期维护保养服务，免费升级和维护软件，免费提供使用培训。</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762"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7</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售后服务3</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（质保）</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提供不少于3人次的工程师维修培训。</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762"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8</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售后服务4</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（响应时间）</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维修响应时间≤2小时，维修到达现场时间≤24小时。</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762"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9</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备品备件要求（零配件）</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由供应商承诺项目使用寿命周期内保证零配件供应。</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882"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10</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知识产权</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r>
        <w:tblPrEx>
          <w:tblCellMar>
            <w:top w:w="0" w:type="dxa"/>
            <w:left w:w="0" w:type="dxa"/>
            <w:bottom w:w="0" w:type="dxa"/>
            <w:right w:w="0" w:type="dxa"/>
          </w:tblCellMar>
        </w:tblPrEx>
        <w:trPr>
          <w:trHeight w:val="762" w:hRule="atLeast"/>
        </w:trPr>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11</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物资编目编码、打码贴签要求</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w:t>
            </w:r>
          </w:p>
        </w:tc>
        <w:tc>
          <w:tcPr>
            <w:tcW w:w="6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本项目对物资的编目编码、打码贴签要求，报价供应商应当予以明确响应，相关费用包含在报价中。</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w:t>
            </w:r>
          </w:p>
        </w:tc>
      </w:tr>
    </w:tbl>
    <w:p>
      <w:pPr>
        <w:rPr>
          <w:rFonts w:hint="eastAsia"/>
        </w:rPr>
      </w:pPr>
    </w:p>
    <w:p>
      <w:pPr>
        <w:rPr>
          <w:rFonts w:hint="eastAsia"/>
        </w:rPr>
      </w:pPr>
    </w:p>
    <w:p>
      <w:pPr>
        <w:rPr>
          <w:rFonts w:hint="eastAsia"/>
        </w:rPr>
      </w:pPr>
    </w:p>
    <w:p>
      <w:pPr>
        <w:rPr>
          <w:rFonts w:hint="eastAsia"/>
        </w:rPr>
      </w:pPr>
    </w:p>
    <w:bookmarkEnd w:id="15"/>
    <w:p>
      <w:pPr>
        <w:pStyle w:val="3"/>
        <w:numPr>
          <w:ilvl w:val="0"/>
          <w:numId w:val="1"/>
        </w:numPr>
        <w:bidi w:val="0"/>
        <w:rPr>
          <w:rFonts w:hint="eastAsia"/>
          <w:b w:val="0"/>
          <w:bCs w:val="0"/>
        </w:rPr>
      </w:pPr>
      <w:bookmarkStart w:id="16" w:name="_Toc27583"/>
      <w:bookmarkStart w:id="17" w:name="_Toc128397970"/>
      <w:bookmarkStart w:id="18" w:name="_Toc12772"/>
      <w:bookmarkStart w:id="19" w:name="_Toc128150778"/>
      <w:bookmarkStart w:id="20" w:name="_Toc152057837"/>
      <w:bookmarkStart w:id="21" w:name="_Toc130887500"/>
      <w:bookmarkStart w:id="22" w:name="_Toc132190634"/>
      <w:bookmarkStart w:id="23" w:name="_Toc150418428"/>
      <w:bookmarkStart w:id="24" w:name="_Toc128151027"/>
      <w:bookmarkStart w:id="25" w:name="_Toc127820564"/>
      <w:bookmarkStart w:id="26" w:name="_Toc128150134"/>
      <w:r>
        <w:rPr>
          <w:rFonts w:hint="eastAsia"/>
          <w:b w:val="0"/>
          <w:bCs w:val="0"/>
        </w:rPr>
        <w:t>技术要求</w:t>
      </w:r>
      <w:bookmarkEnd w:id="16"/>
      <w:bookmarkEnd w:id="17"/>
      <w:bookmarkEnd w:id="18"/>
      <w:bookmarkEnd w:id="19"/>
      <w:bookmarkEnd w:id="20"/>
      <w:bookmarkEnd w:id="21"/>
      <w:bookmarkEnd w:id="22"/>
      <w:bookmarkEnd w:id="23"/>
      <w:bookmarkEnd w:id="24"/>
      <w:bookmarkEnd w:id="25"/>
      <w:bookmarkEnd w:id="26"/>
    </w:p>
    <w:tbl>
      <w:tblPr>
        <w:tblStyle w:val="4"/>
        <w:tblW w:w="0" w:type="auto"/>
        <w:tblInd w:w="0" w:type="dxa"/>
        <w:shd w:val="clear" w:color="auto" w:fill="auto"/>
        <w:tblLayout w:type="autofit"/>
        <w:tblCellMar>
          <w:top w:w="0" w:type="dxa"/>
          <w:left w:w="0" w:type="dxa"/>
          <w:bottom w:w="0" w:type="dxa"/>
          <w:right w:w="0" w:type="dxa"/>
        </w:tblCellMar>
      </w:tblPr>
      <w:tblGrid>
        <w:gridCol w:w="482"/>
        <w:gridCol w:w="1496"/>
        <w:gridCol w:w="510"/>
        <w:gridCol w:w="841"/>
        <w:gridCol w:w="1619"/>
        <w:gridCol w:w="1634"/>
        <w:gridCol w:w="482"/>
        <w:gridCol w:w="1272"/>
      </w:tblGrid>
      <w:tr>
        <w:tblPrEx>
          <w:shd w:val="clear" w:color="auto" w:fill="auto"/>
          <w:tblCellMar>
            <w:top w:w="0" w:type="dxa"/>
            <w:left w:w="0" w:type="dxa"/>
            <w:bottom w:w="0" w:type="dxa"/>
            <w:right w:w="0" w:type="dxa"/>
          </w:tblCellMar>
        </w:tblPrEx>
        <w:trPr>
          <w:trHeight w:val="570" w:hRule="atLeast"/>
        </w:trPr>
        <w:tc>
          <w:tcPr>
            <w:tcW w:w="0" w:type="auto"/>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采购需求表（物资类）</w:t>
            </w:r>
          </w:p>
        </w:tc>
      </w:tr>
      <w:tr>
        <w:tblPrEx>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项目编号</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r>
              <w:rPr>
                <w:rFonts w:hint="eastAsia" w:ascii="黑体" w:hAnsi="宋体" w:eastAsia="黑体" w:cs="黑体"/>
                <w:i w:val="0"/>
                <w:color w:val="000000"/>
                <w:sz w:val="20"/>
                <w:szCs w:val="20"/>
                <w:u w:val="none"/>
              </w:rPr>
              <w:t>2026-JQ06-W3125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项目名称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眼科光学生物测量仪</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最高限价（万元）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28</w:t>
            </w:r>
          </w:p>
        </w:tc>
      </w:tr>
      <w:tr>
        <w:tblPrEx>
          <w:tblCellMar>
            <w:top w:w="0" w:type="dxa"/>
            <w:left w:w="0" w:type="dxa"/>
            <w:bottom w:w="0" w:type="dxa"/>
            <w:right w:w="0" w:type="dxa"/>
          </w:tblCellMar>
        </w:tblPrEx>
        <w:trPr>
          <w:trHeight w:val="85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参数性质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需求具体内容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是否量化</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备注（证明材料等其他要求）</w:t>
            </w:r>
          </w:p>
        </w:tc>
      </w:tr>
      <w:tr>
        <w:tblPrEx>
          <w:tblCellMar>
            <w:top w:w="0" w:type="dxa"/>
            <w:left w:w="0" w:type="dxa"/>
            <w:bottom w:w="0" w:type="dxa"/>
            <w:right w:w="0" w:type="dxa"/>
          </w:tblCellMar>
        </w:tblPrEx>
        <w:trPr>
          <w:trHeight w:val="825"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技术要求</w:t>
            </w: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基本要求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用于测量眼轴长AXL、中央角膜厚度CCT、角膜屈光度K、前房深度ACD、瞳孔直径PD、白到白距离WTW、角膜散光轴、晶体厚度（LT）</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彩页或技术白皮书或说明书</w:t>
            </w: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标准规范</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具备NMPA认证</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注册证</w:t>
            </w: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测量技术</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基于低相干光干涉成像的光学检测测量技术或扫频源光学相干测量技术，全程图像</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彩页或技术白皮书或说明书</w:t>
            </w: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图像</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可获取前后节OCT图像，并同时成像。</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彩页或技术白皮书或说明书</w:t>
            </w: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光源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发光二极管 ( LED)，光源波长≥850nm</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彩页或技术白皮书或说明书</w:t>
            </w: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平均入眼功率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≤730μw</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虹膜成像</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中心波长≥850nm</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角膜功率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角膜处1mm孔径的功率≤100μw</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扫描频率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A扫描频率：≥9kHz，B扫描率：≥9扫描/帧</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眼轴长(AXL)测量范围及精度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测量范围14 mm – 38.0mm</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眼轴长测量精度：±0.02mm,显示精度： 0.01mm</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12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中央角膜厚度测量范围及精度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中央角膜厚度CCT测量范围0.3mm-1.2mm</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中央角膜厚度测量精度±0.005mm，显示精度： 0.0001mm</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12</w:t>
            </w:r>
          </w:p>
        </w:tc>
        <w:tc>
          <w:tcPr>
            <w:tcW w:w="0" w:type="auto"/>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前房深度测量范围及精度</w:t>
            </w:r>
          </w:p>
        </w:tc>
        <w:tc>
          <w:tcPr>
            <w:tcW w:w="0" w:type="auto"/>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前房深度ACD测量范围：0.7mm-5.4mm</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前房深度测量精度：±0.02mm,显示精度：0.01mm</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13</w:t>
            </w:r>
          </w:p>
        </w:tc>
        <w:tc>
          <w:tcPr>
            <w:tcW w:w="0" w:type="auto"/>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瞳孔直径测量范围及精度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瞳孔直径PD测量范围0.5mm-13.5mm</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瞳孔直径测量精度：±0.09mm，显示精度：0.01mm</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11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白到白测量范围及精度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白到白距离WTW测量范围：8-16mm</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白到白距离测量精度：±0.02mm, 显示精度：0.01mm</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晶体厚度测量范围及精度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晶体厚度LT测量范围：1.3mm-7.0mm</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晶体厚度LT测量精度：±0.02mm，显示精度：0.01mm</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测量功能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具备Alpha:Ix、Iy 和 Kappa:Px、Py测量功能。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可视化测量</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可呈现角膜，视网膜层的OCT图像。</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彩页或技术白皮书或说明书</w:t>
            </w: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固视功能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具有固视功能。</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彩页或技术白皮书或说明书</w:t>
            </w:r>
          </w:p>
        </w:tc>
      </w:tr>
      <w:tr>
        <w:tblPrEx>
          <w:tblCellMar>
            <w:top w:w="0" w:type="dxa"/>
            <w:left w:w="0" w:type="dxa"/>
            <w:bottom w:w="0" w:type="dxa"/>
            <w:right w:w="0"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配置要求</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主机1台、打印机（国产品牌）1台</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否</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企业承诺及配置清单</w:t>
            </w:r>
          </w:p>
        </w:tc>
      </w:tr>
      <w:tr>
        <w:tblPrEx>
          <w:tblCellMar>
            <w:top w:w="0" w:type="dxa"/>
            <w:left w:w="0" w:type="dxa"/>
            <w:bottom w:w="0" w:type="dxa"/>
            <w:right w:w="0" w:type="dxa"/>
          </w:tblCellMar>
        </w:tblPrEx>
        <w:trPr>
          <w:trHeight w:val="64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采购实施建议</w:t>
            </w:r>
          </w:p>
        </w:tc>
      </w:tr>
      <w:tr>
        <w:tblPrEx>
          <w:tblCellMar>
            <w:top w:w="0" w:type="dxa"/>
            <w:left w:w="0" w:type="dxa"/>
            <w:bottom w:w="0" w:type="dxa"/>
            <w:right w:w="0" w:type="dxa"/>
          </w:tblCellMar>
        </w:tblPrEx>
        <w:trPr>
          <w:trHeight w:val="6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采购方式</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baseline"/>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 xml:space="preserve">□公开招标    □邀请招标    </w:t>
            </w:r>
            <w:r>
              <w:rPr>
                <w:rFonts w:hint="eastAsia" w:ascii="黑体" w:hAnsi="宋体" w:eastAsia="黑体" w:cs="黑体"/>
                <w:i w:val="0"/>
                <w:color w:val="000000"/>
                <w:kern w:val="0"/>
                <w:sz w:val="20"/>
                <w:szCs w:val="20"/>
                <w:u w:val="none"/>
                <w:lang w:val="en-US" w:eastAsia="zh-CN" w:bidi="ar"/>
              </w:rPr>
              <w:sym w:font="Wingdings 2" w:char="0052"/>
            </w:r>
            <w:r>
              <w:rPr>
                <w:rFonts w:hint="eastAsia" w:ascii="黑体" w:hAnsi="宋体" w:eastAsia="黑体" w:cs="黑体"/>
                <w:i w:val="0"/>
                <w:color w:val="000000"/>
                <w:kern w:val="0"/>
                <w:sz w:val="20"/>
                <w:szCs w:val="20"/>
                <w:u w:val="none"/>
                <w:lang w:val="en-US" w:eastAsia="zh-CN" w:bidi="ar"/>
              </w:rPr>
              <w:t>竞争性谈判    □单一来源     □询价</w:t>
            </w:r>
          </w:p>
        </w:tc>
      </w:tr>
      <w:tr>
        <w:tblPrEx>
          <w:tblCellMar>
            <w:top w:w="0" w:type="dxa"/>
            <w:left w:w="0" w:type="dxa"/>
            <w:bottom w:w="0" w:type="dxa"/>
            <w:right w:w="0" w:type="dxa"/>
          </w:tblCellMar>
        </w:tblPrEx>
        <w:trPr>
          <w:trHeight w:val="6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评审方法</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baseline"/>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sym w:font="Wingdings 2" w:char="0052"/>
            </w:r>
            <w:r>
              <w:rPr>
                <w:rFonts w:hint="eastAsia" w:ascii="黑体" w:hAnsi="宋体" w:eastAsia="黑体" w:cs="黑体"/>
                <w:i w:val="0"/>
                <w:color w:val="000000"/>
                <w:kern w:val="0"/>
                <w:sz w:val="20"/>
                <w:szCs w:val="20"/>
                <w:u w:val="none"/>
                <w:lang w:val="en-US" w:eastAsia="zh-CN" w:bidi="ar"/>
              </w:rPr>
              <w:t>综合评分法      □质量优先法      □经评审的最低价法</w:t>
            </w:r>
          </w:p>
        </w:tc>
      </w:tr>
      <w:tr>
        <w:tblPrEx>
          <w:tblCellMar>
            <w:top w:w="0" w:type="dxa"/>
            <w:left w:w="0" w:type="dxa"/>
            <w:bottom w:w="0" w:type="dxa"/>
            <w:right w:w="0" w:type="dxa"/>
          </w:tblCellMar>
        </w:tblPrEx>
        <w:trPr>
          <w:trHeight w:val="64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技术偏离要求</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kern w:val="0"/>
                <w:sz w:val="20"/>
                <w:szCs w:val="20"/>
                <w:u w:val="none"/>
                <w:lang w:val="en-US" w:eastAsia="zh-CN" w:bidi="ar"/>
              </w:rPr>
            </w:pPr>
            <w:r>
              <w:rPr>
                <w:rFonts w:hint="eastAsia" w:ascii="黑体" w:hAnsi="宋体" w:eastAsia="黑体" w:cs="黑体"/>
                <w:i w:val="0"/>
                <w:color w:val="000000"/>
                <w:kern w:val="0"/>
                <w:sz w:val="20"/>
                <w:szCs w:val="20"/>
                <w:u w:val="none"/>
                <w:lang w:val="en-US" w:eastAsia="zh-CN" w:bidi="ar"/>
              </w:rPr>
              <w:t>▲标识的指标和“无标识”指标负偏离≥6项，投标企业技术参数分值为0分。</w:t>
            </w:r>
          </w:p>
        </w:tc>
      </w:tr>
      <w:tr>
        <w:tblPrEx>
          <w:tblCellMar>
            <w:top w:w="0" w:type="dxa"/>
            <w:left w:w="0" w:type="dxa"/>
            <w:bottom w:w="0" w:type="dxa"/>
            <w:right w:w="0" w:type="dxa"/>
          </w:tblCellMar>
        </w:tblPrEx>
        <w:trPr>
          <w:trHeight w:val="118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lang w:val="en-US" w:eastAsia="zh-CN"/>
              </w:rPr>
            </w:pPr>
            <w:r>
              <w:rPr>
                <w:rFonts w:hint="eastAsia"/>
                <w:lang w:val="en-US" w:eastAsia="zh-CN"/>
              </w:rPr>
              <w:t>注：</w:t>
            </w:r>
          </w:p>
          <w:p>
            <w:pPr>
              <w:keepNext w:val="0"/>
              <w:keepLines w:val="0"/>
              <w:widowControl/>
              <w:suppressLineNumbers w:val="0"/>
              <w:jc w:val="left"/>
              <w:textAlignment w:val="top"/>
              <w:rPr>
                <w:rFonts w:hint="eastAsia" w:ascii="宋体" w:hAnsi="宋体" w:eastAsia="宋体" w:cs="宋体"/>
                <w:i w:val="0"/>
                <w:color w:val="000000"/>
                <w:sz w:val="22"/>
                <w:szCs w:val="22"/>
                <w:u w:val="none"/>
              </w:rPr>
            </w:pPr>
            <w:r>
              <w:rPr>
                <w:rFonts w:hint="eastAsia"/>
                <w:lang w:val="en-US" w:eastAsia="zh-CN"/>
              </w:rPr>
              <w:t>1.★指标为必须响应指标，任意一项不满足要求即做废标处理；</w:t>
            </w:r>
            <w:r>
              <w:rPr>
                <w:rFonts w:hint="eastAsia"/>
                <w:lang w:val="en-US" w:eastAsia="zh-CN"/>
              </w:rPr>
              <w:br w:type="textWrapping"/>
            </w:r>
            <w:r>
              <w:rPr>
                <w:rFonts w:hint="eastAsia"/>
                <w:lang w:val="en-US" w:eastAsia="zh-CN"/>
              </w:rPr>
              <w:t>2.★及▲标识的指标，无法明确的默认由企业提供承诺；</w:t>
            </w:r>
            <w:r>
              <w:rPr>
                <w:rFonts w:hint="eastAsia"/>
                <w:lang w:val="en-US" w:eastAsia="zh-CN"/>
              </w:rPr>
              <w:br w:type="textWrapping"/>
            </w:r>
            <w:r>
              <w:rPr>
                <w:rFonts w:hint="eastAsia"/>
                <w:lang w:val="en-US" w:eastAsia="zh-CN"/>
              </w:rPr>
              <w:t>3.经济要求不接受企业负偏离。</w:t>
            </w:r>
          </w:p>
        </w:tc>
      </w:tr>
    </w:tbl>
    <w:p>
      <w:pPr>
        <w:rPr>
          <w:rFonts w:hint="eastAsia"/>
        </w:rPr>
      </w:pP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cs="宋体"/>
          <w:kern w:val="0"/>
          <w:sz w:val="22"/>
          <w:szCs w:val="22"/>
          <w:lang w:bidi="ar"/>
        </w:rPr>
      </w:pPr>
      <w:r>
        <w:rPr>
          <w:rFonts w:ascii="宋体" w:hAnsi="宋体" w:cs="宋体"/>
          <w:kern w:val="0"/>
          <w:sz w:val="22"/>
          <w:szCs w:val="22"/>
          <w:lang w:bidi="ar"/>
        </w:rPr>
        <w:t xml:space="preserve">说明 </w:t>
      </w:r>
      <w:r>
        <w:rPr>
          <w:rFonts w:hint="eastAsia" w:ascii="宋体" w:hAnsi="宋体" w:cs="宋体"/>
          <w:kern w:val="0"/>
          <w:sz w:val="22"/>
          <w:szCs w:val="22"/>
          <w:lang w:bidi="ar"/>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宋体" w:hAnsi="宋体" w:cs="宋体"/>
          <w:kern w:val="0"/>
          <w:sz w:val="22"/>
          <w:szCs w:val="22"/>
          <w:lang w:bidi="ar"/>
        </w:rPr>
      </w:pPr>
      <w:r>
        <w:rPr>
          <w:rFonts w:hint="eastAsia" w:ascii="宋体" w:hAnsi="宋体" w:cs="宋体"/>
          <w:kern w:val="0"/>
          <w:sz w:val="22"/>
          <w:szCs w:val="22"/>
          <w:lang w:bidi="ar"/>
        </w:rPr>
        <w:t>（</w:t>
      </w:r>
      <w:r>
        <w:rPr>
          <w:rFonts w:ascii="宋体" w:hAnsi="宋体" w:cs="宋体"/>
          <w:kern w:val="0"/>
          <w:sz w:val="22"/>
          <w:szCs w:val="22"/>
          <w:lang w:bidi="ar"/>
        </w:rPr>
        <w:t>1</w:t>
      </w:r>
      <w:r>
        <w:rPr>
          <w:rFonts w:hint="eastAsia" w:ascii="宋体" w:hAnsi="宋体" w:cs="宋体"/>
          <w:kern w:val="0"/>
          <w:sz w:val="22"/>
          <w:szCs w:val="22"/>
          <w:lang w:bidi="ar"/>
        </w:rPr>
        <w:t>）</w:t>
      </w:r>
      <w:r>
        <w:rPr>
          <w:rFonts w:ascii="宋体" w:hAnsi="宋体" w:cs="宋体"/>
          <w:kern w:val="0"/>
          <w:sz w:val="22"/>
          <w:szCs w:val="22"/>
          <w:lang w:bidi="ar"/>
        </w:rPr>
        <w:t>★指标为必须响应指标，任意一项不满足要求即做废标处理；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宋体" w:hAnsi="宋体" w:cs="宋体"/>
          <w:kern w:val="0"/>
          <w:sz w:val="22"/>
          <w:szCs w:val="22"/>
          <w:lang w:bidi="ar"/>
        </w:rPr>
      </w:pPr>
      <w:r>
        <w:rPr>
          <w:rFonts w:hint="eastAsia" w:ascii="宋体" w:hAnsi="宋体" w:cs="宋体"/>
          <w:kern w:val="0"/>
          <w:sz w:val="22"/>
          <w:szCs w:val="22"/>
          <w:lang w:bidi="ar"/>
        </w:rPr>
        <w:t>（</w:t>
      </w:r>
      <w:r>
        <w:rPr>
          <w:rFonts w:ascii="宋体" w:hAnsi="宋体" w:cs="宋体"/>
          <w:kern w:val="0"/>
          <w:sz w:val="22"/>
          <w:szCs w:val="22"/>
          <w:lang w:bidi="ar"/>
        </w:rPr>
        <w:t>2</w:t>
      </w:r>
      <w:r>
        <w:rPr>
          <w:rFonts w:hint="eastAsia" w:ascii="宋体" w:hAnsi="宋体" w:cs="宋体"/>
          <w:kern w:val="0"/>
          <w:sz w:val="22"/>
          <w:szCs w:val="22"/>
          <w:lang w:bidi="ar"/>
        </w:rPr>
        <w:t>）</w:t>
      </w:r>
      <w:r>
        <w:rPr>
          <w:rFonts w:ascii="宋体" w:hAnsi="宋体" w:cs="宋体"/>
          <w:kern w:val="0"/>
          <w:sz w:val="22"/>
          <w:szCs w:val="22"/>
          <w:lang w:bidi="ar"/>
        </w:rPr>
        <w:t>《采购需求表》备注已明确证明材料种类的，以所注内容或国家行政管理部门、专业检测机构出具的证明材料为准。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宋体" w:hAnsi="宋体" w:cs="宋体"/>
          <w:kern w:val="0"/>
          <w:sz w:val="22"/>
          <w:szCs w:val="22"/>
          <w:lang w:bidi="ar"/>
        </w:rPr>
      </w:pPr>
      <w:r>
        <w:rPr>
          <w:rFonts w:hint="eastAsia" w:ascii="宋体" w:hAnsi="宋体" w:cs="宋体"/>
          <w:kern w:val="0"/>
          <w:sz w:val="22"/>
          <w:szCs w:val="22"/>
          <w:lang w:bidi="ar"/>
        </w:rPr>
        <w:t>（</w:t>
      </w:r>
      <w:r>
        <w:rPr>
          <w:rFonts w:ascii="宋体" w:hAnsi="宋体" w:cs="宋体"/>
          <w:kern w:val="0"/>
          <w:sz w:val="22"/>
          <w:szCs w:val="22"/>
          <w:lang w:bidi="ar"/>
        </w:rPr>
        <w:t>3</w:t>
      </w:r>
      <w:r>
        <w:rPr>
          <w:rFonts w:hint="eastAsia" w:ascii="宋体" w:hAnsi="宋体" w:cs="宋体"/>
          <w:kern w:val="0"/>
          <w:sz w:val="22"/>
          <w:szCs w:val="22"/>
          <w:lang w:bidi="ar"/>
        </w:rPr>
        <w:t>）</w:t>
      </w:r>
      <w:r>
        <w:rPr>
          <w:rFonts w:ascii="宋体" w:hAnsi="宋体" w:cs="宋体"/>
          <w:kern w:val="0"/>
          <w:sz w:val="22"/>
          <w:szCs w:val="22"/>
          <w:lang w:bidi="ar"/>
        </w:rPr>
        <w:t>★标识指标及▲标识指标须提供技术支持材料，支持材料包括但不限于以下任意一种或几种：产品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r>
        <w:rPr>
          <w:rFonts w:hint="eastAsia" w:ascii="宋体" w:hAnsi="宋体" w:cs="宋体"/>
          <w:kern w:val="0"/>
          <w:sz w:val="22"/>
          <w:szCs w:val="22"/>
          <w:lang w:bidi="ar"/>
        </w:rPr>
        <w:t>（</w:t>
      </w:r>
      <w:r>
        <w:rPr>
          <w:rFonts w:ascii="宋体" w:hAnsi="宋体" w:cs="宋体"/>
          <w:kern w:val="0"/>
          <w:sz w:val="22"/>
          <w:szCs w:val="22"/>
          <w:lang w:bidi="ar"/>
        </w:rPr>
        <w:t>4</w:t>
      </w:r>
      <w:r>
        <w:rPr>
          <w:rFonts w:hint="eastAsia" w:ascii="宋体" w:hAnsi="宋体" w:cs="宋体"/>
          <w:kern w:val="0"/>
          <w:sz w:val="22"/>
          <w:szCs w:val="22"/>
          <w:lang w:bidi="ar"/>
        </w:rPr>
        <w:t>）</w:t>
      </w:r>
      <w:r>
        <w:rPr>
          <w:rFonts w:ascii="宋体" w:hAnsi="宋体" w:cs="宋体"/>
          <w:kern w:val="0"/>
          <w:sz w:val="22"/>
          <w:szCs w:val="22"/>
          <w:lang w:bidi="ar"/>
        </w:rPr>
        <w:t>无标识指标正偏离需参照上述要求提供技术支持材料，未提供的正偏离不予认可</w:t>
      </w:r>
      <w:r>
        <w:rPr>
          <w:rFonts w:hint="eastAsia" w:ascii="宋体" w:hAnsi="宋体" w:cs="宋体"/>
          <w:kern w:val="0"/>
          <w:sz w:val="22"/>
          <w:szCs w:val="22"/>
          <w:lang w:eastAsia="zh-CN" w:bidi="ar"/>
        </w:rPr>
        <w:t>。</w:t>
      </w:r>
      <w:bookmarkStart w:id="27" w:name="_GoBack"/>
      <w:bookmarkEnd w:id="2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EFFDC"/>
    <w:multiLevelType w:val="singleLevel"/>
    <w:tmpl w:val="623EFFD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245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outlineLvl w:val="2"/>
    </w:pPr>
    <w:rPr>
      <w:rFonts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2026-07-13T07:57:33Z</dcterms:created>
  <dc:creator>admin</dc:creator>
  <cp:lastModifiedBy>admin</cp:lastModifiedBy>
  <dcterms:modified xsi:type="dcterms:W3CDTF">2026-07-13T07:58:46Z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