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after="0" w:line="560" w:lineRule="exact"/>
        <w:ind w:firstLine="560" w:firstLineChars="200"/>
        <w:rPr>
          <w:rFonts w:hint="eastAsia" w:ascii="黑体" w:hAnsi="黑体" w:cs="黑体"/>
          <w:b w:val="0"/>
          <w:sz w:val="28"/>
          <w:szCs w:val="28"/>
        </w:rPr>
      </w:pPr>
      <w:bookmarkStart w:id="0" w:name="_Toc22977"/>
      <w:bookmarkStart w:id="1" w:name="_Toc22203"/>
      <w:bookmarkStart w:id="2" w:name="_Toc128154367"/>
      <w:bookmarkStart w:id="3" w:name="_Toc130888006"/>
      <w:bookmarkStart w:id="4" w:name="_Toc14060"/>
      <w:bookmarkStart w:id="5" w:name="_Toc9824"/>
      <w:bookmarkStart w:id="6" w:name="_Toc150421247"/>
      <w:bookmarkStart w:id="7" w:name="_Toc13168"/>
      <w:bookmarkStart w:id="8" w:name="_Toc6602"/>
      <w:bookmarkStart w:id="9" w:name="_Toc32238"/>
      <w:bookmarkStart w:id="10" w:name="_Toc112768493"/>
      <w:bookmarkStart w:id="11" w:name="_Toc128470294"/>
      <w:bookmarkStart w:id="12" w:name="_Toc132191258"/>
      <w:bookmarkStart w:id="13" w:name="_Toc112681847"/>
      <w:bookmarkStart w:id="14" w:name="_Toc132186974"/>
      <w:bookmarkStart w:id="15" w:name="_Toc285612596"/>
      <w:r>
        <w:rPr>
          <w:rFonts w:hint="eastAsia" w:ascii="黑体" w:hAnsi="黑体" w:cs="黑体"/>
          <w:b w:val="0"/>
          <w:sz w:val="28"/>
          <w:szCs w:val="28"/>
        </w:rPr>
        <w:t>一、商务要求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tbl>
      <w:tblPr>
        <w:tblStyle w:val="4"/>
        <w:tblW w:w="4998" w:type="pct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16"/>
        <w:gridCol w:w="2010"/>
        <w:gridCol w:w="910"/>
        <w:gridCol w:w="3849"/>
        <w:gridCol w:w="1048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参数性质</w:t>
            </w:r>
          </w:p>
        </w:tc>
        <w:tc>
          <w:tcPr>
            <w:tcW w:w="2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备注（证明材料等其他要求）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交货时间、交货地点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2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合同签订后3个月内交付，交付地点由甲方指定</w:t>
            </w: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2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签订合同付（预付）0%，物资到货（服务完成）验收后付95%。</w:t>
            </w: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履约保证金/质量保证金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2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质保期满且无质量问题支付剩余5%（不超过5%）</w:t>
            </w: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产品包装和运输要求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2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售后服务1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2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保修年限不低于3年，全年故障停机时间不高于5%（按365日/年计算)。</w:t>
            </w: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原厂授权（或企业承诺）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售后服务2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2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保修期内免费提供定期维护保养服务，免费升级和维护软件，免费提供使用培训。</w:t>
            </w: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售后服务3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2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提供不少于1人次、1天的工程师维修培训。</w:t>
            </w: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售后服务4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（响应时间）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2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维修响应时间≤6小时，维修到达现场时间≤8小时。</w:t>
            </w: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备品备件要求（零配件）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2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由供应商承诺项目使用寿命周期内保证零配件供应。</w:t>
            </w: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专用工具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2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物资编目编码、打码贴签要求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2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知识产权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报价供应商应当保证采购单位在使用该物资或其任何一部分时，不受第三方侵权指控。同时，报价供应商不得向第三方泄露采购机构提供的技术文件等材料。 基于项目合同履行形成的知识产权和其他权益，其权属归采购单位所有，法律另有规定的除外</w:t>
            </w: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bookmarkEnd w:id="15"/>
    <w:p>
      <w:pPr>
        <w:pStyle w:val="3"/>
        <w:numPr>
          <w:ilvl w:val="0"/>
          <w:numId w:val="1"/>
        </w:numPr>
        <w:bidi w:val="0"/>
        <w:rPr>
          <w:rFonts w:hint="eastAsia"/>
          <w:b w:val="0"/>
          <w:bCs w:val="0"/>
        </w:rPr>
      </w:pPr>
      <w:bookmarkStart w:id="16" w:name="_Toc128397970"/>
      <w:bookmarkStart w:id="17" w:name="_Toc130887500"/>
      <w:bookmarkStart w:id="18" w:name="_Toc128150778"/>
      <w:bookmarkStart w:id="19" w:name="_Toc12772"/>
      <w:bookmarkStart w:id="20" w:name="_Toc132190634"/>
      <w:bookmarkStart w:id="21" w:name="_Toc128150134"/>
      <w:bookmarkStart w:id="22" w:name="_Toc27583"/>
      <w:bookmarkStart w:id="23" w:name="_Toc127820564"/>
      <w:bookmarkStart w:id="24" w:name="_Toc128151027"/>
      <w:bookmarkStart w:id="25" w:name="_Toc150418428"/>
      <w:bookmarkStart w:id="26" w:name="_Toc152057837"/>
      <w:r>
        <w:rPr>
          <w:rFonts w:hint="eastAsia"/>
          <w:b w:val="0"/>
          <w:bCs w:val="0"/>
        </w:rPr>
        <w:t>技术要求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tbl>
      <w:tblPr>
        <w:tblStyle w:val="4"/>
        <w:tblW w:w="5000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1"/>
        <w:gridCol w:w="1310"/>
        <w:gridCol w:w="712"/>
        <w:gridCol w:w="3799"/>
        <w:gridCol w:w="831"/>
        <w:gridCol w:w="974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2026-JQ06-W3139</w:t>
            </w: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2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生物刺激反馈仪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参数性质</w:t>
            </w:r>
          </w:p>
        </w:tc>
        <w:tc>
          <w:tcPr>
            <w:tcW w:w="22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量化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备注（证明材料等其他要求）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技术要求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22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用于盆底肌肉等功能的综合评估、盆底功能障碍性疾病的治疗、产后康复、妇科疾病及术后康复等治疗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说明书或企业承诺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资质认证</w:t>
            </w: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227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具备NMPA认证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提供注册证复印件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主机通道</w:t>
            </w: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主机具有电刺激通道≥4个、肌电采集通道≥4个、压力反馈通道≥1个。通道均为独立物理通道，非扩展通道</w:t>
            </w:r>
          </w:p>
        </w:tc>
        <w:tc>
          <w:tcPr>
            <w:tcW w:w="49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主机电源供电</w:t>
            </w: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22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220V，50Hz，主机内不含内置电池供电</w:t>
            </w:r>
          </w:p>
        </w:tc>
        <w:tc>
          <w:tcPr>
            <w:tcW w:w="49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说明书或产品铭牌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操作方式</w:t>
            </w: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22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采用实体按键进行选择、键入等动作，非触摸屏操作</w:t>
            </w:r>
          </w:p>
        </w:tc>
        <w:tc>
          <w:tcPr>
            <w:tcW w:w="49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产品图片或彩页或白皮书或说明书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肌电采集范围</w:t>
            </w: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22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≥5μV～2500μV</w:t>
            </w:r>
          </w:p>
        </w:tc>
        <w:tc>
          <w:tcPr>
            <w:tcW w:w="49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白皮书或说明书或检验报告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分辨率</w:t>
            </w: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22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≤1μV</w:t>
            </w:r>
          </w:p>
        </w:tc>
        <w:tc>
          <w:tcPr>
            <w:tcW w:w="49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白皮书或说明书或检验报告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通频带</w:t>
            </w: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≥20Hz～520Hz</w:t>
            </w:r>
          </w:p>
        </w:tc>
        <w:tc>
          <w:tcPr>
            <w:tcW w:w="49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最高输出电刺激频率</w:t>
            </w: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22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≥250Hz</w:t>
            </w:r>
          </w:p>
        </w:tc>
        <w:tc>
          <w:tcPr>
            <w:tcW w:w="49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白皮书或说明书或检验报告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压力模块测量范围</w:t>
            </w: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22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≥0-220mmHg</w:t>
            </w:r>
          </w:p>
        </w:tc>
        <w:tc>
          <w:tcPr>
            <w:tcW w:w="49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白皮书或说明书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评估功能</w:t>
            </w: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具备盆底表面肌电标准评估功能（Glazer评估），肌电报告中测试值指标≥14项</w:t>
            </w:r>
          </w:p>
        </w:tc>
        <w:tc>
          <w:tcPr>
            <w:tcW w:w="49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中频刺激频率</w:t>
            </w: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22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1kHz-8kHz可调，误差±10%。</w:t>
            </w:r>
          </w:p>
        </w:tc>
        <w:tc>
          <w:tcPr>
            <w:tcW w:w="49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白皮书或说明书或软件截图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中频电刺激调幅度</w:t>
            </w: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0%～100%范围内可调，步进5%调节，允差±5%。</w:t>
            </w:r>
          </w:p>
        </w:tc>
        <w:tc>
          <w:tcPr>
            <w:tcW w:w="49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0" w:hRule="atLeast"/>
        </w:trPr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盆腹动力评估功能</w:t>
            </w: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22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≥9种评估功能，至少包括盆底表面肌电标准评估（Glazer评估）、性功能评估、控尿反射评估、腰背痛评估、肌张力检测、肌电压力综合评估等</w:t>
            </w:r>
          </w:p>
        </w:tc>
        <w:tc>
          <w:tcPr>
            <w:tcW w:w="49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白皮书或说明书或软件截图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电刺激输出波形</w:t>
            </w: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22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≥6种，包括三角波、方波、正弦波、指数三角波、梯形波、马鞍波</w:t>
            </w:r>
          </w:p>
        </w:tc>
        <w:tc>
          <w:tcPr>
            <w:tcW w:w="49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白皮书或说明书或软件截图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最高输出电刺激频率</w:t>
            </w: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22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≥2000Hz</w:t>
            </w:r>
          </w:p>
        </w:tc>
        <w:tc>
          <w:tcPr>
            <w:tcW w:w="49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白皮书或说明书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方案编辑</w:t>
            </w: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支持方案自定义，频率、刺激时间、间歇时间等参数可调</w:t>
            </w:r>
          </w:p>
        </w:tc>
        <w:tc>
          <w:tcPr>
            <w:tcW w:w="49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数据管理</w:t>
            </w: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</w:t>
            </w:r>
          </w:p>
        </w:tc>
        <w:tc>
          <w:tcPr>
            <w:tcW w:w="49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785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配置</w:t>
            </w:r>
          </w:p>
        </w:tc>
        <w:tc>
          <w:tcPr>
            <w:tcW w:w="42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2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主机（含软件）1套、电极连接线1套、扫描器1个、一次性阴道电极2个，一次性直肠电极2个、阴道电极2个、直肠电极2个、体表电极（4种型号）各5对</w:t>
            </w:r>
          </w:p>
        </w:tc>
        <w:tc>
          <w:tcPr>
            <w:tcW w:w="49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85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耗材要求</w:t>
            </w:r>
          </w:p>
        </w:tc>
        <w:tc>
          <w:tcPr>
            <w:tcW w:w="42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22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开放耗材</w:t>
            </w:r>
          </w:p>
        </w:tc>
        <w:tc>
          <w:tcPr>
            <w:tcW w:w="49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6" w:hRule="atLeast"/>
        </w:trPr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验收标准</w:t>
            </w: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22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按照投标文件、采购合同、质量标准等，组织对医疗设备进行质量验收，出具验收报告。验收过程中对于核心参数存疑需检测的，可委托地方具有相应检测能力的机构提供技术支持，检测费用由中标供应商提供。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采购实施建议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采购方式</w:t>
            </w:r>
          </w:p>
        </w:tc>
        <w:tc>
          <w:tcPr>
            <w:tcW w:w="378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Segoe UI Symbol" w:hAnsi="Segoe UI Symbol" w:eastAsia="Segoe UI Symbol" w:cs="Segoe UI Symbo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Segoe UI Symbol" w:hAnsi="Segoe UI Symbol" w:eastAsia="Segoe UI Symbol" w:cs="Segoe UI Symbo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□公开招标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邀请招标    </w:t>
            </w:r>
            <w:r>
              <w:rPr>
                <w:rFonts w:hint="default" w:ascii="Segoe UI Symbol" w:hAnsi="Segoe UI Symbol" w:eastAsia="Segoe UI Symbol" w:cs="Segoe UI Symbo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☑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竞争性谈判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单一来源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询价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评审方法</w:t>
            </w:r>
          </w:p>
        </w:tc>
        <w:tc>
          <w:tcPr>
            <w:tcW w:w="378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Segoe UI Symbol" w:hAnsi="Segoe UI Symbol" w:eastAsia="Segoe UI Symbol" w:cs="Segoe UI Symbo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Segoe UI Symbol" w:hAnsi="Segoe UI Symbol" w:eastAsia="Segoe UI Symbol" w:cs="Segoe UI Symbo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☑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综合评分法      □质量优先法      □经评审的最低价法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技术偏离要求</w:t>
            </w:r>
          </w:p>
        </w:tc>
        <w:tc>
          <w:tcPr>
            <w:tcW w:w="378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▲标识的指标负偏离≥4项，投标企业技术参数分值为0分。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▲标识的指标和“无标识”指标负偏离≥7项，投标企业技术参数分值为0分。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2094"/>
              </w:tabs>
              <w:jc w:val="both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注：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2094"/>
              </w:tabs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1.★指标为必须响应指标，任意一项不满足要求即做废标处理；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2.★及▲标识的指标，无法明确的默认由企业提供承诺；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3.经济要求不接受企业负偏离。</w:t>
            </w:r>
          </w:p>
        </w:tc>
      </w:tr>
    </w:tbl>
    <w:p>
      <w:bookmarkStart w:id="27" w:name="_GoBack"/>
      <w:bookmarkEnd w:id="2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3EFFDC"/>
    <w:multiLevelType w:val="singleLevel"/>
    <w:tmpl w:val="623EFFD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465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eastAsia="黑体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2026-07-21T08:36:15Z</dcterms:created>
  <dc:creator>admin</dc:creator>
  <cp:lastModifiedBy>admin</cp:lastModifiedBy>
  <dcterms:modified xsi:type="dcterms:W3CDTF">2026-07-21T08:38:03Z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