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用于对来源于患者全血样本中的被分析物进行血气、电解质、代谢物定量等检测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具备NMPA认证和FDA和CE认证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注册证及相关认证材料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>包含pH、pCO</w:t>
            </w:r>
            <w:r>
              <w:rPr>
                <w:rStyle w:val="18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、pO</w:t>
            </w:r>
            <w:r>
              <w:rPr>
                <w:rStyle w:val="18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、Na+、K+、Ca++、Glu、Lac、Hct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至少包含HCO3- std,HCO3-,TCO2, BE(B),SO2c, Ca++ (7.4)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质控频率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每天质控数量≥3次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≤90秒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取样来源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至少包含动脉血、静脉血、末梢血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具有异常提示、安全报警声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血气针、注射器、毛细管和安瓿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彩色触摸屏显示和操作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操作界面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中文操作界面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网络连接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可连接计算机和网络，实现数据计算机网络化管理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数据储存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可储存数据≥10000条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内置热敏打印机，可重复打印报告，并可外接打印机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USB或RS232或以太网口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质控图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自动生成质控图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血气分析仪1套（含主机一台、条码扫码枪一套）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2.▲技术指标负偏离≥3项，供应商技术参数分值为0分；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3.▲技术指标和“无标识”技术指标负偏离≥7项，供应商技术参数分值为0分。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血气、血氧、电解质和代谢物分析仪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血气测试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检测人份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测量指标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</w:t>
            </w:r>
            <w:r>
              <w:rPr>
                <w:rStyle w:val="14"/>
                <w:lang w:val="en-US" w:eastAsia="zh-CN" w:bidi="ar"/>
              </w:rPr>
              <w:t>pH、pCO</w:t>
            </w:r>
            <w:r>
              <w:rPr>
                <w:rStyle w:val="18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、pO</w:t>
            </w:r>
            <w:r>
              <w:rPr>
                <w:rStyle w:val="18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、Na+、K+、Ca++、Glu、Lac、Hct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831</Words>
  <Characters>894</Characters>
  <Paragraphs>284</Paragraphs>
  <TotalTime>0</TotalTime>
  <ScaleCrop>false</ScaleCrop>
  <LinksUpToDate>false</LinksUpToDate>
  <CharactersWithSpaces>894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2026-07-24T11:30:02Z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