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eastAsia="zh-CN"/>
        </w:rPr>
      </w:pPr>
    </w:p>
    <w:p>
      <w:pPr>
        <w:pStyle w:val="2"/>
        <w:rPr>
          <w:rFonts w:hint="eastAsia"/>
          <w:lang w:eastAsia="zh-CN"/>
        </w:rPr>
      </w:pPr>
    </w:p>
    <w:p>
      <w:pPr>
        <w:pStyle w:val="2"/>
        <w:rPr>
          <w:rFonts w:hint="eastAsia"/>
          <w:lang w:eastAsia="zh-CN"/>
        </w:rPr>
      </w:pPr>
    </w:p>
    <w:p>
      <w:pPr>
        <w:pStyle w:val="2"/>
        <w:rPr>
          <w:rFonts w:hint="eastAsia"/>
          <w:lang w:eastAsia="zh-CN"/>
        </w:rPr>
      </w:pPr>
    </w:p>
    <w:tbl>
      <w:tblPr>
        <w:tblStyle w:val="6"/>
        <w:tblW w:w="9596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4"/>
        <w:gridCol w:w="1432"/>
        <w:gridCol w:w="675"/>
        <w:gridCol w:w="4233"/>
        <w:gridCol w:w="1009"/>
        <w:gridCol w:w="166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序号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需求名称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参数</w:t>
            </w:r>
          </w:p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性质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需求具体内容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是否</w:t>
            </w: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br w:type="textWrapping"/>
            </w: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量化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备注（证明材料等其他要求）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基本要求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用于成人患者在支架植入术前对原发性冠状动脉的钙化病变（冠状动脉狭窄程度≥50%）进行预处理及球囊扩张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彩页或技术白皮书或说明书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标准规范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具备NMPA认证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注册证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2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脉冲周期数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最大支持单根耗材脉冲周期数≥10个周期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彩页或技术白皮书或说明书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脉冲次数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最大支持单根冠脉耗材脉冲次数≥100次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彩页或技术白皮书或说明书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手柄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手柄控制脉冲释放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彩页或技术白皮书或说明书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电池容量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≥12000mAh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输出电压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≤3000V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脉冲释放频率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脉冲释放频率1Hz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脉冲时间间隔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1s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彩页或技术白皮书或说明书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工作模式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可单独或连续激发工作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发射器通道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≤5个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配置要求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主机×1、控制手柄×1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企业承诺及配置清单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配套耗材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（试剂）要求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封闭耗材（试剂）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厂家承诺及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注册证，若非同品牌需提供耗材(试剂)为设备生产企业指定唯一代工品牌的材料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9596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rPr>
                <w:rFonts w:hint="eastAsia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auto"/>
                <w:sz w:val="22"/>
                <w:szCs w:val="22"/>
                <w:lang w:val="en-US" w:eastAsia="zh-CN"/>
              </w:rPr>
              <w:t>注：</w:t>
            </w:r>
          </w:p>
          <w:p>
            <w:pPr>
              <w:pStyle w:val="2"/>
              <w:rPr>
                <w:rFonts w:hint="eastAsia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auto"/>
                <w:sz w:val="22"/>
                <w:szCs w:val="22"/>
                <w:lang w:val="en-US" w:eastAsia="zh-CN"/>
              </w:rPr>
              <w:t>1.★号项技术指标不接受负偏离。</w:t>
            </w:r>
          </w:p>
          <w:p>
            <w:pPr>
              <w:pStyle w:val="2"/>
              <w:rPr>
                <w:rFonts w:hint="eastAsia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auto"/>
                <w:sz w:val="22"/>
                <w:szCs w:val="22"/>
                <w:lang w:val="en-US" w:eastAsia="zh-CN"/>
              </w:rPr>
              <w:t>2.▲技术指标负偏离≥4项，供应商技术参数分值为0分。</w:t>
            </w:r>
          </w:p>
          <w:p>
            <w:pPr>
              <w:pStyle w:val="2"/>
            </w:pPr>
            <w:r>
              <w:rPr>
                <w:rFonts w:hint="eastAsia"/>
                <w:color w:val="auto"/>
                <w:sz w:val="22"/>
                <w:szCs w:val="22"/>
                <w:lang w:val="en-US" w:eastAsia="zh-CN"/>
              </w:rPr>
              <w:t>3.▲技术指标和“无标识”技术指标负偏离≥7项，供应商技术参数分值为0分。</w:t>
            </w:r>
          </w:p>
        </w:tc>
      </w:tr>
    </w:tbl>
    <w:p>
      <w:pPr>
        <w:pStyle w:val="2"/>
        <w:rPr>
          <w:rFonts w:hint="eastAsia"/>
          <w:lang w:eastAsia="zh-CN"/>
        </w:rPr>
      </w:pPr>
    </w:p>
    <w:p>
      <w:pPr>
        <w:pStyle w:val="2"/>
        <w:rPr>
          <w:rFonts w:hint="eastAsia"/>
          <w:lang w:eastAsia="zh-CN"/>
        </w:rPr>
      </w:pPr>
    </w:p>
    <w:tbl>
      <w:tblPr>
        <w:tblStyle w:val="6"/>
        <w:tblW w:w="9795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1"/>
        <w:gridCol w:w="1720"/>
        <w:gridCol w:w="1582"/>
        <w:gridCol w:w="1487"/>
        <w:gridCol w:w="886"/>
        <w:gridCol w:w="1036"/>
        <w:gridCol w:w="154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3" w:hRule="atLeast"/>
          <w:jc w:val="center"/>
        </w:trPr>
        <w:tc>
          <w:tcPr>
            <w:tcW w:w="9795" w:type="dxa"/>
            <w:gridSpan w:val="7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封闭耗材（试剂）用量测算表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3" w:hRule="atLeast"/>
          <w:jc w:val="center"/>
        </w:trPr>
        <w:tc>
          <w:tcPr>
            <w:tcW w:w="1541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302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  <w:t>血管内冲击波治疗设备</w:t>
            </w:r>
          </w:p>
        </w:tc>
        <w:tc>
          <w:tcPr>
            <w:tcW w:w="1487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项目编号</w:t>
            </w:r>
          </w:p>
        </w:tc>
        <w:tc>
          <w:tcPr>
            <w:tcW w:w="3465" w:type="dxa"/>
            <w:gridSpan w:val="3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  <w:t>2026-JQ06-W3114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封闭耗材（试剂）描述</w:t>
            </w:r>
          </w:p>
        </w:tc>
        <w:tc>
          <w:tcPr>
            <w:tcW w:w="8254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耗材（试剂）与设备为同一品牌或耗材（试剂）为设备生产企业指定的唯一代工品牌。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1541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172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配套耗材（开展项目）名称</w:t>
            </w:r>
          </w:p>
        </w:tc>
        <w:tc>
          <w:tcPr>
            <w:tcW w:w="1582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规格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预估2年用量</w:t>
            </w:r>
          </w:p>
        </w:tc>
        <w:tc>
          <w:tcPr>
            <w:tcW w:w="88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计量单位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最高限价（万元）</w:t>
            </w:r>
          </w:p>
        </w:tc>
        <w:tc>
          <w:tcPr>
            <w:tcW w:w="154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黑体" w:hAnsi="宋体" w:eastAsia="黑体" w:cs="黑体"/>
                <w:sz w:val="20"/>
                <w:lang w:val="en-US" w:eastAsia="zh-CN"/>
              </w:rPr>
            </w:pPr>
            <w:r>
              <w:rPr>
                <w:rFonts w:hint="eastAsia"/>
              </w:rPr>
              <w:t>一次性使用冠脉血管内冲击波导管</w:t>
            </w: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/>
              </w:rPr>
            </w:pPr>
            <w:r>
              <w:rPr>
                <w:rFonts w:hint="eastAsia"/>
                <w:lang w:eastAsia="zh-CN"/>
              </w:rPr>
              <w:t>厂家自报</w:t>
            </w: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>50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根</w:t>
            </w: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68</w:t>
            </w: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eastAsia="宋体"/>
                <w:lang w:val="en-US" w:eastAsia="zh-CN"/>
              </w:rPr>
            </w:pPr>
          </w:p>
        </w:tc>
      </w:tr>
    </w:tbl>
    <w:p>
      <w:pPr>
        <w:pStyle w:val="2"/>
        <w:rPr>
          <w:rFonts w:hint="eastAsia"/>
          <w:lang w:eastAsia="zh-CN"/>
        </w:rPr>
      </w:pP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gutterAtTop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GRkZDQ3ZjMzOTY5MWI5OWQ5MThmMTU1NGRhOTc5MGIifQ=="/>
  </w:docVars>
  <w:rsids>
    <w:rsidRoot w:val="00000000"/>
    <w:rsid w:val="00FC5DF7"/>
    <w:rsid w:val="023522E3"/>
    <w:rsid w:val="05713B47"/>
    <w:rsid w:val="05DE13F5"/>
    <w:rsid w:val="069A52D5"/>
    <w:rsid w:val="089A2D51"/>
    <w:rsid w:val="0A906D90"/>
    <w:rsid w:val="0AFB1280"/>
    <w:rsid w:val="0B2226D0"/>
    <w:rsid w:val="0F470958"/>
    <w:rsid w:val="138F132E"/>
    <w:rsid w:val="17487963"/>
    <w:rsid w:val="180F4F88"/>
    <w:rsid w:val="18975E23"/>
    <w:rsid w:val="18E641A6"/>
    <w:rsid w:val="1A8210C5"/>
    <w:rsid w:val="1C21149A"/>
    <w:rsid w:val="1CA01C36"/>
    <w:rsid w:val="1D291FE4"/>
    <w:rsid w:val="1D4069F9"/>
    <w:rsid w:val="1E284C72"/>
    <w:rsid w:val="20880DD0"/>
    <w:rsid w:val="21544704"/>
    <w:rsid w:val="24112793"/>
    <w:rsid w:val="2451739F"/>
    <w:rsid w:val="249B0095"/>
    <w:rsid w:val="26C756D4"/>
    <w:rsid w:val="2C5548F9"/>
    <w:rsid w:val="2C70007E"/>
    <w:rsid w:val="2E330B36"/>
    <w:rsid w:val="2FA439F9"/>
    <w:rsid w:val="32DF4298"/>
    <w:rsid w:val="35410F67"/>
    <w:rsid w:val="35D01581"/>
    <w:rsid w:val="3CB576DF"/>
    <w:rsid w:val="3DB55BD2"/>
    <w:rsid w:val="3EE90571"/>
    <w:rsid w:val="43210EE4"/>
    <w:rsid w:val="458D0AB3"/>
    <w:rsid w:val="46EC424A"/>
    <w:rsid w:val="49C62559"/>
    <w:rsid w:val="4A635D44"/>
    <w:rsid w:val="4C912C37"/>
    <w:rsid w:val="51E203D9"/>
    <w:rsid w:val="52632A1C"/>
    <w:rsid w:val="57DB13A6"/>
    <w:rsid w:val="58180461"/>
    <w:rsid w:val="595F0856"/>
    <w:rsid w:val="5E301C0F"/>
    <w:rsid w:val="5E685B79"/>
    <w:rsid w:val="5FAF1DB4"/>
    <w:rsid w:val="60FD48E7"/>
    <w:rsid w:val="636B54F8"/>
    <w:rsid w:val="651B2F9E"/>
    <w:rsid w:val="66F868FC"/>
    <w:rsid w:val="67484B4C"/>
    <w:rsid w:val="68923B67"/>
    <w:rsid w:val="68BE0BFC"/>
    <w:rsid w:val="696712F2"/>
    <w:rsid w:val="6A294057"/>
    <w:rsid w:val="6BD6700F"/>
    <w:rsid w:val="6D6B1BEE"/>
    <w:rsid w:val="6DBC51E2"/>
    <w:rsid w:val="6E775CD9"/>
    <w:rsid w:val="707D3ACC"/>
    <w:rsid w:val="715D7825"/>
    <w:rsid w:val="72B35125"/>
    <w:rsid w:val="744E5315"/>
    <w:rsid w:val="759B3810"/>
    <w:rsid w:val="77F14350"/>
    <w:rsid w:val="79155BE7"/>
    <w:rsid w:val="7A5318CE"/>
    <w:rsid w:val="7B594769"/>
    <w:rsid w:val="7E4454AB"/>
    <w:rsid w:val="7F1B7FBA"/>
    <w:rsid w:val="7FE75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qFormat/>
    <w:uiPriority w:val="1"/>
  </w:style>
  <w:style w:type="table" w:default="1" w:styleId="6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</w:pPr>
    <w:rPr>
      <w:rFonts w:hint="eastAsia" w:ascii="黑体" w:hAnsi="黑体" w:eastAsia="黑体" w:cs="Times New Roman"/>
      <w:color w:val="000000"/>
      <w:sz w:val="24"/>
      <w:szCs w:val="22"/>
      <w:lang w:val="en-US" w:eastAsia="zh-CN" w:bidi="ar-SA"/>
    </w:rPr>
  </w:style>
  <w:style w:type="paragraph" w:styleId="3">
    <w:name w:val="Body Text"/>
    <w:basedOn w:val="1"/>
    <w:next w:val="1"/>
    <w:qFormat/>
    <w:uiPriority w:val="99"/>
    <w:pPr>
      <w:spacing w:after="120"/>
    </w:p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font111"/>
    <w:basedOn w:val="7"/>
    <w:qFormat/>
    <w:uiPriority w:val="0"/>
    <w:rPr>
      <w:rFonts w:hint="eastAsia" w:ascii="黑体" w:hAnsi="宋体" w:eastAsia="黑体" w:cs="黑体"/>
      <w:i/>
      <w:iCs/>
      <w:color w:val="000000"/>
      <w:sz w:val="20"/>
      <w:szCs w:val="20"/>
      <w:u w:val="none"/>
    </w:rPr>
  </w:style>
  <w:style w:type="character" w:customStyle="1" w:styleId="9">
    <w:name w:val="页眉 字符"/>
    <w:basedOn w:val="7"/>
    <w:link w:val="5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0">
    <w:name w:val="页脚 字符"/>
    <w:basedOn w:val="7"/>
    <w:link w:val="4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1">
    <w:name w:val="font11"/>
    <w:basedOn w:val="7"/>
    <w:qFormat/>
    <w:uiPriority w:val="0"/>
    <w:rPr>
      <w:rFonts w:hint="eastAsia" w:ascii="黑体" w:hAnsi="宋体" w:eastAsia="黑体" w:cs="黑体"/>
      <w:color w:val="000000"/>
      <w:sz w:val="20"/>
      <w:szCs w:val="20"/>
      <w:u w:val="none"/>
    </w:rPr>
  </w:style>
  <w:style w:type="character" w:customStyle="1" w:styleId="12">
    <w:name w:val="font51"/>
    <w:basedOn w:val="7"/>
    <w:qFormat/>
    <w:uiPriority w:val="0"/>
    <w:rPr>
      <w:rFonts w:hint="eastAsia" w:ascii="黑体" w:hAnsi="宋体" w:eastAsia="黑体" w:cs="黑体"/>
      <w:color w:val="000000"/>
      <w:sz w:val="20"/>
      <w:szCs w:val="20"/>
      <w:u w:val="none"/>
      <w:vertAlign w:val="subscript"/>
    </w:rPr>
  </w:style>
  <w:style w:type="character" w:customStyle="1" w:styleId="13">
    <w:name w:val="font31"/>
    <w:basedOn w:val="7"/>
    <w:qFormat/>
    <w:uiPriority w:val="0"/>
    <w:rPr>
      <w:rFonts w:hint="eastAsia" w:ascii="黑体" w:hAnsi="宋体" w:eastAsia="黑体" w:cs="黑体"/>
      <w:color w:val="000000"/>
      <w:sz w:val="20"/>
      <w:szCs w:val="20"/>
      <w:u w:val="none"/>
      <w:vertAlign w:val="superscript"/>
    </w:rPr>
  </w:style>
  <w:style w:type="character" w:customStyle="1" w:styleId="14">
    <w:name w:val="font21"/>
    <w:basedOn w:val="7"/>
    <w:qFormat/>
    <w:uiPriority w:val="0"/>
    <w:rPr>
      <w:rFonts w:hint="eastAsia" w:ascii="黑体" w:hAnsi="宋体" w:eastAsia="黑体" w:cs="黑体"/>
      <w:color w:val="000000"/>
      <w:sz w:val="20"/>
      <w:szCs w:val="20"/>
      <w:u w:val="none"/>
    </w:rPr>
  </w:style>
  <w:style w:type="character" w:customStyle="1" w:styleId="15">
    <w:name w:val="font81"/>
    <w:basedOn w:val="7"/>
    <w:qFormat/>
    <w:uiPriority w:val="0"/>
    <w:rPr>
      <w:rFonts w:ascii="Arial" w:hAnsi="Arial" w:cs="Arial"/>
      <w:color w:val="000000"/>
      <w:sz w:val="20"/>
      <w:szCs w:val="20"/>
      <w:u w:val="none"/>
    </w:rPr>
  </w:style>
  <w:style w:type="character" w:customStyle="1" w:styleId="16">
    <w:name w:val="font101"/>
    <w:basedOn w:val="7"/>
    <w:qFormat/>
    <w:uiPriority w:val="0"/>
    <w:rPr>
      <w:rFonts w:ascii="黑体" w:hAnsi="宋体" w:eastAsia="黑体" w:cs="黑体"/>
      <w:color w:val="000000"/>
      <w:sz w:val="20"/>
      <w:szCs w:val="20"/>
      <w:u w:val="none"/>
    </w:rPr>
  </w:style>
  <w:style w:type="character" w:customStyle="1" w:styleId="17">
    <w:name w:val="font61"/>
    <w:basedOn w:val="7"/>
    <w:qFormat/>
    <w:uiPriority w:val="0"/>
    <w:rPr>
      <w:rFonts w:hint="eastAsia" w:ascii="黑体" w:hAnsi="宋体" w:eastAsia="黑体" w:cs="黑体"/>
      <w:color w:val="FF0000"/>
      <w:sz w:val="20"/>
      <w:szCs w:val="20"/>
      <w:u w:val="none"/>
    </w:rPr>
  </w:style>
  <w:style w:type="character" w:customStyle="1" w:styleId="18">
    <w:name w:val="font41"/>
    <w:basedOn w:val="7"/>
    <w:qFormat/>
    <w:uiPriority w:val="0"/>
    <w:rPr>
      <w:rFonts w:hint="eastAsia" w:ascii="黑体" w:hAnsi="宋体" w:eastAsia="黑体" w:cs="黑体"/>
      <w:color w:val="000000"/>
      <w:sz w:val="20"/>
      <w:szCs w:val="20"/>
      <w:u w:val="none"/>
      <w:vertAlign w:val="subscript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880</Words>
  <Characters>947</Characters>
  <Paragraphs>284</Paragraphs>
  <TotalTime>0</TotalTime>
  <ScaleCrop>false</ScaleCrop>
  <LinksUpToDate>false</LinksUpToDate>
  <CharactersWithSpaces>951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2024-07-31T06:34:00Z</dcterms:created>
  <dc:creator>Administrator</dc:creator>
  <cp:lastModifiedBy>admin</cp:lastModifiedBy>
  <cp:lastPrinted>2024-10-09T23:14:00Z</cp:lastPrinted>
  <dcterms:modified xsi:type="dcterms:W3CDTF">2026-07-24T11:50:28Z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7401b3e06da145378b453b8b6ed95919_23</vt:lpwstr>
  </property>
  <property fmtid="{D5CDD505-2E9C-101B-9397-08002B2CF9AE}" pid="4" name="KSOTemplateDocerSaveRecord">
    <vt:lpwstr>eyJoZGlkIjoiNjVkYTA1ZDZjOWIwYWU5OTgyNWMzZjgxNzg0ZTY1YTUiLCJ1c2VySWQiOiIxMDUwNzExMjQzIn0=</vt:lpwstr>
  </property>
</Properties>
</file>