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0" w:name="_Toc32238"/>
      <w:bookmarkStart w:id="1" w:name="_Toc6602"/>
      <w:bookmarkStart w:id="2" w:name="_Toc112681847"/>
      <w:bookmarkStart w:id="3" w:name="_Toc22977"/>
      <w:bookmarkStart w:id="4" w:name="_Toc132191258"/>
      <w:bookmarkStart w:id="5" w:name="_Toc132186974"/>
      <w:bookmarkStart w:id="6" w:name="_Toc130888006"/>
      <w:bookmarkStart w:id="7" w:name="_Toc14060"/>
      <w:bookmarkStart w:id="8" w:name="_Toc128154367"/>
      <w:bookmarkStart w:id="9" w:name="_Toc9824"/>
      <w:bookmarkStart w:id="10" w:name="_Toc13168"/>
      <w:bookmarkStart w:id="11" w:name="_Toc150421247"/>
      <w:bookmarkStart w:id="12" w:name="_Toc112768493"/>
      <w:bookmarkStart w:id="13" w:name="_Toc128470294"/>
      <w:bookmarkStart w:id="14" w:name="_Toc22203"/>
      <w:bookmarkStart w:id="15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6"/>
        <w:tblW w:w="0" w:type="auto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70"/>
        <w:gridCol w:w="2150"/>
        <w:gridCol w:w="910"/>
        <w:gridCol w:w="5000"/>
        <w:gridCol w:w="85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合同签订后3个月内交付，交付地点由甲方指定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签订合同付（预付）0%，物资到货（服务完成）验收后付95%。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质保期满且无质量问题支付剩余5%（不超过5%）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保修年限不低于3年，全年故障停机时间不高于5%（按365日/年计算)。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原厂授权（企业承诺）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提供不少于1人次、1天的工程师维修培训。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维修响应时间≤6小时，维修到达现场时间≤8小时。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bookmarkEnd w:id="15"/>
    </w:tbl>
    <w:p>
      <w:pPr>
        <w:pStyle w:val="3"/>
        <w:numPr>
          <w:ilvl w:val="0"/>
          <w:numId w:val="0"/>
        </w:numPr>
        <w:bidi w:val="0"/>
        <w:rPr>
          <w:rFonts w:hint="eastAsia"/>
          <w:b w:val="0"/>
          <w:bCs w:val="0"/>
        </w:rPr>
      </w:pPr>
      <w:bookmarkStart w:id="16" w:name="_Toc150418428"/>
      <w:bookmarkStart w:id="17" w:name="_Toc128151027"/>
      <w:bookmarkStart w:id="18" w:name="_Toc152057837"/>
      <w:bookmarkStart w:id="19" w:name="_Toc128150134"/>
      <w:bookmarkStart w:id="20" w:name="_Toc12772"/>
      <w:bookmarkStart w:id="21" w:name="_Toc128150778"/>
      <w:bookmarkStart w:id="22" w:name="_Toc132190634"/>
      <w:bookmarkStart w:id="23" w:name="_Toc128397970"/>
      <w:bookmarkStart w:id="24" w:name="_Toc130887500"/>
      <w:bookmarkStart w:id="25" w:name="_Toc27583"/>
      <w:bookmarkStart w:id="26" w:name="_Toc127820564"/>
    </w:p>
    <w:p>
      <w:pPr>
        <w:rPr>
          <w:rFonts w:hint="eastAsia"/>
          <w:b w:val="0"/>
          <w:bCs w:val="0"/>
        </w:rPr>
      </w:pPr>
    </w:p>
    <w:p>
      <w:pPr>
        <w:pStyle w:val="2"/>
        <w:rPr>
          <w:rFonts w:hint="eastAsia"/>
          <w:b w:val="0"/>
          <w:bCs w:val="0"/>
        </w:rPr>
      </w:pPr>
    </w:p>
    <w:p>
      <w:pPr>
        <w:pStyle w:val="2"/>
        <w:rPr>
          <w:rFonts w:hint="eastAsia"/>
          <w:b w:val="0"/>
          <w:bCs w:val="0"/>
        </w:rPr>
      </w:pPr>
    </w:p>
    <w:p>
      <w:pPr>
        <w:pStyle w:val="3"/>
        <w:numPr>
          <w:ilvl w:val="0"/>
          <w:numId w:val="1"/>
        </w:numPr>
        <w:bidi w:val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技术要求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tbl>
      <w:tblPr>
        <w:tblStyle w:val="6"/>
        <w:tblW w:w="5000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2"/>
        <w:gridCol w:w="1391"/>
        <w:gridCol w:w="915"/>
        <w:gridCol w:w="4118"/>
        <w:gridCol w:w="742"/>
        <w:gridCol w:w="140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2026-JQ06-W3152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手持式神经肌肉低频电刺激仪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量化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用于兴奋神经肌肉，缓解废用性肌萎缩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医疗器械注册证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技术和性能参数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便携式主机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便携主机，主机重量≤150g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74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内置电池</w:t>
            </w:r>
          </w:p>
        </w:tc>
        <w:tc>
          <w:tcPr>
            <w:tcW w:w="48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采用内置环保锂电池，可重复充电使用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74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可搭配软件使用，也可以独立主机使用</w:t>
            </w:r>
          </w:p>
        </w:tc>
        <w:tc>
          <w:tcPr>
            <w:tcW w:w="48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1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可搭配移动端软件使用，参数调节完成后可脱离软件独立用主机使用，默认保留上次治疗结束时的参数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可实时显示电流波形输出</w:t>
            </w:r>
          </w:p>
        </w:tc>
        <w:tc>
          <w:tcPr>
            <w:tcW w:w="48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移动端软件由蓝牙、治疗、处方、收藏及帮助模块构成，并可实时显示电流波形输出。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双通道</w:t>
            </w:r>
          </w:p>
        </w:tc>
        <w:tc>
          <w:tcPr>
            <w:tcW w:w="48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双通道同时输出，各输出通道的输出强度能分别设置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输出模式</w:t>
            </w:r>
          </w:p>
        </w:tc>
        <w:tc>
          <w:tcPr>
            <w:tcW w:w="48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具有同步输出和交替输出多种输出模式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输出电流</w:t>
            </w:r>
          </w:p>
        </w:tc>
        <w:tc>
          <w:tcPr>
            <w:tcW w:w="48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恒流电流输出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输出强度</w:t>
            </w:r>
          </w:p>
        </w:tc>
        <w:tc>
          <w:tcPr>
            <w:tcW w:w="48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0mA～100mA内可调，步长1mA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脉冲频率</w:t>
            </w:r>
          </w:p>
        </w:tc>
        <w:tc>
          <w:tcPr>
            <w:tcW w:w="48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1Hz～120Hz可调，步长1Hz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脉冲宽度</w:t>
            </w:r>
          </w:p>
        </w:tc>
        <w:tc>
          <w:tcPr>
            <w:tcW w:w="48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50μs～500μs可调，步长10μ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脉冲的上升时间和下降时间</w:t>
            </w:r>
          </w:p>
        </w:tc>
        <w:tc>
          <w:tcPr>
            <w:tcW w:w="48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0.5-5s范围内可调 ，步长0.5s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3.12 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脉冲的维持时间</w:t>
            </w:r>
          </w:p>
        </w:tc>
        <w:tc>
          <w:tcPr>
            <w:tcW w:w="48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1-30s范围内可调，步长1s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脉冲的断电时间</w:t>
            </w:r>
          </w:p>
        </w:tc>
        <w:tc>
          <w:tcPr>
            <w:tcW w:w="48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2-60s范围内可调，步长1s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3.14 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报警功能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主机具有开路报警功能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配置（单台/套）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主机1≥台；电疗输出线≥8条；电极片≥8包；电源线≥2个；收纳盒 1个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按照投标文件、采购合同、质量标准等，组织对医疗设备进行质量验收，出具验收报告。验收过程中对于核心参数存疑需检测的，可委托地方具有相应检测能力的机构提供技术支持，检测费用由中标供应商提供。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采购实施建议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382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Segoe UI Symbol" w:hAnsi="Segoe UI Symbol" w:eastAsia="Segoe UI Symbol" w:cs="Segoe UI Symbo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Segoe UI Symbol" w:hAnsi="Segoe UI Symbol" w:eastAsia="Segoe UI Symbol" w:cs="Segoe UI Symbo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公开招标    </w:t>
            </w:r>
            <w:r>
              <w:rPr>
                <w:rFonts w:hint="default" w:ascii="Segoe UI Symbol" w:hAnsi="Segoe UI Symbol" w:eastAsia="Segoe UI Symbol" w:cs="Segoe UI Symbo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邀请招标    </w:t>
            </w:r>
            <w:r>
              <w:rPr>
                <w:rFonts w:hint="default" w:ascii="Segoe UI Symbol" w:hAnsi="Segoe UI Symbol" w:eastAsia="Segoe UI Symbol" w:cs="Segoe UI Symbo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☑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竞争性谈判    </w:t>
            </w:r>
            <w:r>
              <w:rPr>
                <w:rFonts w:hint="default" w:ascii="Segoe UI Symbol" w:hAnsi="Segoe UI Symbol" w:eastAsia="Segoe UI Symbol" w:cs="Segoe UI Symbo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单一来源     </w:t>
            </w:r>
            <w:r>
              <w:rPr>
                <w:rFonts w:hint="default" w:ascii="Segoe UI Symbol" w:hAnsi="Segoe UI Symbol" w:eastAsia="Segoe UI Symbol" w:cs="Segoe UI Symbo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询价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评审方法</w:t>
            </w:r>
          </w:p>
        </w:tc>
        <w:tc>
          <w:tcPr>
            <w:tcW w:w="382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Segoe UI Symbol" w:hAnsi="Segoe UI Symbol" w:eastAsia="Segoe UI Symbol" w:cs="Segoe UI Symbo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Segoe UI Symbol" w:hAnsi="Segoe UI Symbol" w:eastAsia="Segoe UI Symbol" w:cs="Segoe UI Symbo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☑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综合评分法      □质量优先法      □经评审的最低价法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技术偏离要求</w:t>
            </w:r>
          </w:p>
        </w:tc>
        <w:tc>
          <w:tcPr>
            <w:tcW w:w="382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▲标识的指标负偏离≥3项，投标企业技术参数分值为0分。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▲标识的指标和“无标识”指标负偏离≥8项，投标企业技术参数分值为0分。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1.★指标为必须响应指标，任意一项不满足要求即做废标处理；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2.★及▲标识的指标，无法明确的默认由企业提供承诺；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3.经济要求不接受企业负偏离。</w:t>
            </w:r>
          </w:p>
        </w:tc>
      </w:tr>
    </w:tbl>
    <w:p>
      <w:pPr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kern w:val="0"/>
          <w:sz w:val="22"/>
          <w:szCs w:val="22"/>
          <w:lang w:bidi="ar"/>
        </w:rPr>
      </w:pPr>
      <w:r>
        <w:rPr>
          <w:rFonts w:ascii="宋体" w:hAnsi="宋体" w:cs="宋体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黑体" w:hAnsi="黑体" w:eastAsia="宋体" w:cs="黑体"/>
          <w:b w:val="0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18" w:right="1134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kern w:val="0"/>
          <w:sz w:val="22"/>
          <w:szCs w:val="22"/>
          <w:lang w:eastAsia="zh-CN" w:bidi="ar"/>
        </w:rPr>
        <w:t>。</w:t>
      </w:r>
      <w:bookmarkStart w:id="27" w:name="_GoBack"/>
      <w:bookmarkEnd w:id="27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2792711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98</w:t>
        </w:r>
        <w: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ascii="楷体_GB2312" w:hAnsi="华文中宋" w:eastAsia="楷体_GB2312"/>
        <w:sz w:val="21"/>
        <w:szCs w:val="21"/>
      </w:rPr>
    </w:pPr>
    <w:r>
      <w:rPr>
        <w:sz w:val="21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38470" cy="8891270"/>
          <wp:effectExtent l="0" t="0" r="5080" b="5080"/>
          <wp:wrapNone/>
          <wp:docPr id="14" name="WordPictureWatermark221492" descr="水印图片-加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221492" descr="水印图片-加深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8470" cy="8891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楷体_GB2312" w:hAnsi="华文中宋" w:eastAsia="楷体_GB2312"/>
        <w:sz w:val="21"/>
        <w:szCs w:val="21"/>
        <w:lang w:val="zh-CN"/>
      </w:rPr>
      <w:t>第六章 采购项目商务和技术要求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EFFDC"/>
    <w:multiLevelType w:val="singleLevel"/>
    <w:tmpl w:val="623EFFD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21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2026-07-10T02:38:25Z</dcterms:created>
  <dc:creator>admin</dc:creator>
  <cp:lastModifiedBy>admin</cp:lastModifiedBy>
  <dcterms:modified xsi:type="dcterms:W3CDTF">2026-07-10T02:38:51Z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