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宋体" w:hAnsi="宋体" w:eastAsia="宋体" w:cs="宋体"/>
          <w:color w:val="000000"/>
          <w:kern w:val="2"/>
          <w:sz w:val="28"/>
          <w:szCs w:val="28"/>
          <w:highlight w:val="none"/>
          <w:lang w:eastAsia="zh-CN"/>
        </w:rPr>
      </w:pPr>
      <w:bookmarkStart w:id="0" w:name="_Toc132191258"/>
      <w:bookmarkStart w:id="1" w:name="_Toc112681847"/>
      <w:bookmarkStart w:id="2" w:name="_Toc13168"/>
      <w:bookmarkStart w:id="3" w:name="_Toc14060"/>
      <w:bookmarkStart w:id="4" w:name="_Toc128154367"/>
      <w:bookmarkStart w:id="5" w:name="_Toc152058290"/>
      <w:bookmarkStart w:id="6" w:name="_Toc112768493"/>
      <w:bookmarkStart w:id="7" w:name="_Toc150421247"/>
      <w:bookmarkStart w:id="8" w:name="_Toc22203"/>
      <w:bookmarkStart w:id="9" w:name="_Toc132186974"/>
      <w:bookmarkStart w:id="10" w:name="_Toc2406"/>
      <w:bookmarkStart w:id="11" w:name="_Toc130888006"/>
      <w:bookmarkStart w:id="12" w:name="_Toc32238"/>
      <w:bookmarkStart w:id="13" w:name="_Toc128470294"/>
      <w:bookmarkStart w:id="14" w:name="_Toc22977"/>
      <w:r>
        <w:rPr>
          <w:rFonts w:hint="eastAsia" w:ascii="黑体" w:hAnsi="黑体" w:cs="黑体"/>
          <w:b/>
          <w:bCs/>
          <w:color w:val="auto"/>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tbl>
      <w:tblPr>
        <w:tblStyle w:val="13"/>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1"/>
        <w:gridCol w:w="1260"/>
        <w:gridCol w:w="741"/>
        <w:gridCol w:w="4946"/>
        <w:gridCol w:w="667"/>
        <w:gridCol w:w="13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14"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lang w:eastAsia="zh-CN"/>
                <w14:textFill>
                  <w14:solidFill>
                    <w14:schemeClr w14:val="tx1"/>
                  </w14:solidFill>
                </w14:textFill>
              </w:rPr>
            </w:pPr>
            <w:bookmarkStart w:id="15" w:name="_Toc130887500"/>
            <w:bookmarkStart w:id="16" w:name="_Toc132190634"/>
            <w:bookmarkStart w:id="17" w:name="_Toc16735"/>
            <w:bookmarkStart w:id="18" w:name="_Toc150418428"/>
            <w:bookmarkStart w:id="19" w:name="_Toc128151027"/>
            <w:bookmarkStart w:id="20" w:name="_Toc128397970"/>
            <w:bookmarkStart w:id="21" w:name="_Toc127820564"/>
            <w:bookmarkStart w:id="22" w:name="_Toc128150778"/>
            <w:bookmarkStart w:id="23" w:name="_Toc128150134"/>
            <w:bookmarkStart w:id="24" w:name="_Toc152057837"/>
            <w:r>
              <w:rPr>
                <w:rFonts w:hint="eastAsia" w:ascii="宋体" w:hAnsi="宋体" w:eastAsia="宋体" w:cs="宋体"/>
                <w:b/>
                <w:color w:val="000000" w:themeColor="text1"/>
                <w:sz w:val="21"/>
                <w:szCs w:val="21"/>
                <w:lang w:eastAsia="zh-CN"/>
                <w14:textFill>
                  <w14:solidFill>
                    <w14:schemeClr w14:val="tx1"/>
                  </w14:solidFill>
                </w14:textFill>
              </w:rPr>
              <w:t>序号</w:t>
            </w:r>
          </w:p>
        </w:tc>
        <w:tc>
          <w:tcPr>
            <w:tcW w:w="666"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pacing w:val="3"/>
                <w:sz w:val="21"/>
                <w:szCs w:val="21"/>
                <w:lang w:eastAsia="zh-CN"/>
                <w14:textFill>
                  <w14:solidFill>
                    <w14:schemeClr w14:val="tx1"/>
                  </w14:solidFill>
                </w14:textFill>
              </w:rPr>
            </w:pPr>
            <w:r>
              <w:rPr>
                <w:rFonts w:hint="eastAsia" w:ascii="宋体" w:hAnsi="宋体" w:eastAsia="宋体" w:cs="宋体"/>
                <w:b/>
                <w:color w:val="000000" w:themeColor="text1"/>
                <w:spacing w:val="3"/>
                <w:sz w:val="21"/>
                <w:szCs w:val="21"/>
                <w14:textFill>
                  <w14:solidFill>
                    <w14:schemeClr w14:val="tx1"/>
                  </w14:solidFill>
                </w14:textFill>
              </w:rPr>
              <w:t>需求名称</w:t>
            </w:r>
          </w:p>
        </w:tc>
        <w:tc>
          <w:tcPr>
            <w:tcW w:w="391"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pacing w:val="5"/>
                <w:sz w:val="21"/>
                <w:szCs w:val="21"/>
                <w14:textFill>
                  <w14:solidFill>
                    <w14:schemeClr w14:val="tx1"/>
                  </w14:solidFill>
                </w14:textFill>
              </w:rPr>
              <w:t>参数</w:t>
            </w:r>
            <w:r>
              <w:rPr>
                <w:rFonts w:hint="eastAsia" w:ascii="宋体" w:hAnsi="宋体" w:eastAsia="宋体" w:cs="宋体"/>
                <w:b/>
                <w:color w:val="000000" w:themeColor="text1"/>
                <w:spacing w:val="14"/>
                <w:sz w:val="21"/>
                <w:szCs w:val="21"/>
                <w14:textFill>
                  <w14:solidFill>
                    <w14:schemeClr w14:val="tx1"/>
                  </w14:solidFill>
                </w14:textFill>
              </w:rPr>
              <w:t>性质</w:t>
            </w:r>
          </w:p>
        </w:tc>
        <w:tc>
          <w:tcPr>
            <w:tcW w:w="261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需求具体内容</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是否量化</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备注（证明材料等其他要求）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5000" w:type="pct"/>
            <w:gridSpan w:val="6"/>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lang w:eastAsia="zh-CN"/>
                <w14:textFill>
                  <w14:solidFill>
                    <w14:schemeClr w14:val="tx1"/>
                  </w14:solidFill>
                </w14:textFill>
              </w:rPr>
              <w:t>商务</w:t>
            </w:r>
            <w:r>
              <w:rPr>
                <w:rFonts w:hint="eastAsia" w:ascii="宋体" w:hAnsi="宋体" w:eastAsia="宋体" w:cs="宋体"/>
                <w:b/>
                <w:bCs/>
                <w:color w:val="000000" w:themeColor="text1"/>
                <w:kern w:val="0"/>
                <w:sz w:val="21"/>
                <w:szCs w:val="21"/>
                <w14:textFill>
                  <w14:solidFill>
                    <w14:schemeClr w14:val="tx1"/>
                  </w14:solidFill>
                </w14:textFill>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1</w:t>
            </w:r>
          </w:p>
        </w:tc>
        <w:tc>
          <w:tcPr>
            <w:tcW w:w="666"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交货时间、交货地点</w:t>
            </w:r>
          </w:p>
        </w:tc>
        <w:tc>
          <w:tcPr>
            <w:tcW w:w="391"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合同签订后 1 个月内交付，交付地点由甲方指定。</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2</w:t>
            </w:r>
          </w:p>
        </w:tc>
        <w:tc>
          <w:tcPr>
            <w:tcW w:w="666"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付款及结算方式</w:t>
            </w:r>
          </w:p>
        </w:tc>
        <w:tc>
          <w:tcPr>
            <w:tcW w:w="391"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部署完成并验收合格后付95%。</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3</w:t>
            </w:r>
          </w:p>
        </w:tc>
        <w:tc>
          <w:tcPr>
            <w:tcW w:w="666"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履约保证金/质量保证金</w:t>
            </w:r>
          </w:p>
        </w:tc>
        <w:tc>
          <w:tcPr>
            <w:tcW w:w="391"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验收合格且软件质保期满无质量问题支付剩余5%。</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4</w:t>
            </w:r>
          </w:p>
        </w:tc>
        <w:tc>
          <w:tcPr>
            <w:tcW w:w="666"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产品包装和运输要求</w:t>
            </w:r>
          </w:p>
        </w:tc>
        <w:tc>
          <w:tcPr>
            <w:tcW w:w="391"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按照国家、行业相关标准规范，产品确保包装完好，运输确保不对产品造成损伤。</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5</w:t>
            </w:r>
          </w:p>
        </w:tc>
        <w:tc>
          <w:tcPr>
            <w:tcW w:w="666"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售后服务 1（质保）</w:t>
            </w:r>
          </w:p>
        </w:tc>
        <w:tc>
          <w:tcPr>
            <w:tcW w:w="391"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硬件产品质保年限不低于3年，软件产品质保不低于1年。全年故障停机时间不高于5%（按 365日/年计算）。</w:t>
            </w:r>
            <w:r>
              <w:rPr>
                <w:rFonts w:hint="eastAsia" w:ascii="宋体" w:hAnsi="宋体" w:eastAsia="宋体" w:cs="宋体"/>
                <w:color w:val="000000" w:themeColor="text1"/>
                <w:kern w:val="0"/>
                <w:sz w:val="21"/>
                <w:szCs w:val="21"/>
                <w:lang w:eastAsia="zh-CN"/>
                <w14:textFill>
                  <w14:solidFill>
                    <w14:schemeClr w14:val="tx1"/>
                  </w14:solidFill>
                </w14:textFill>
              </w:rPr>
              <w:t>中标后</w:t>
            </w:r>
            <w:r>
              <w:rPr>
                <w:rFonts w:hint="eastAsia" w:ascii="宋体" w:hAnsi="宋体" w:eastAsia="宋体" w:cs="宋体"/>
                <w:color w:val="000000" w:themeColor="text1"/>
                <w:kern w:val="0"/>
                <w:sz w:val="21"/>
                <w:szCs w:val="21"/>
                <w14:textFill>
                  <w14:solidFill>
                    <w14:schemeClr w14:val="tx1"/>
                  </w14:solidFill>
                </w14:textFill>
              </w:rPr>
              <w:t>提供原厂售后服务承诺函。</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6</w:t>
            </w:r>
          </w:p>
        </w:tc>
        <w:tc>
          <w:tcPr>
            <w:tcW w:w="666"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售后服务 2（质保）</w:t>
            </w:r>
          </w:p>
        </w:tc>
        <w:tc>
          <w:tcPr>
            <w:tcW w:w="391"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质保期内免费提供定期维护保养服务，免费升级和维护软件，免费提供使用培训。</w:t>
            </w:r>
            <w:r>
              <w:rPr>
                <w:rFonts w:hint="eastAsia" w:ascii="宋体" w:hAnsi="宋体" w:eastAsia="宋体" w:cs="宋体"/>
                <w:color w:val="000000" w:themeColor="text1"/>
                <w:kern w:val="0"/>
                <w:sz w:val="21"/>
                <w:szCs w:val="21"/>
                <w:lang w:eastAsia="zh-CN"/>
                <w14:textFill>
                  <w14:solidFill>
                    <w14:schemeClr w14:val="tx1"/>
                  </w14:solidFill>
                </w14:textFill>
              </w:rPr>
              <w:t>中标后</w:t>
            </w:r>
            <w:r>
              <w:rPr>
                <w:rFonts w:hint="eastAsia" w:ascii="宋体" w:hAnsi="宋体" w:eastAsia="宋体" w:cs="宋体"/>
                <w:color w:val="000000" w:themeColor="text1"/>
                <w:kern w:val="0"/>
                <w:sz w:val="21"/>
                <w:szCs w:val="21"/>
                <w14:textFill>
                  <w14:solidFill>
                    <w14:schemeClr w14:val="tx1"/>
                  </w14:solidFill>
                </w14:textFill>
              </w:rPr>
              <w:t>提供原厂售后服务承诺函。</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7</w:t>
            </w:r>
          </w:p>
        </w:tc>
        <w:tc>
          <w:tcPr>
            <w:tcW w:w="666"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售后服务 3（质保）</w:t>
            </w:r>
          </w:p>
        </w:tc>
        <w:tc>
          <w:tcPr>
            <w:tcW w:w="391"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提供不少于原厂 工程师20人/天的工程师安装部署及培训服务。</w:t>
            </w:r>
            <w:r>
              <w:rPr>
                <w:rFonts w:hint="eastAsia" w:ascii="宋体" w:hAnsi="宋体" w:eastAsia="宋体" w:cs="宋体"/>
                <w:color w:val="000000" w:themeColor="text1"/>
                <w:kern w:val="0"/>
                <w:sz w:val="21"/>
                <w:szCs w:val="21"/>
                <w:lang w:eastAsia="zh-CN"/>
                <w14:textFill>
                  <w14:solidFill>
                    <w14:schemeClr w14:val="tx1"/>
                  </w14:solidFill>
                </w14:textFill>
              </w:rPr>
              <w:t>中标后</w:t>
            </w:r>
            <w:r>
              <w:rPr>
                <w:rFonts w:hint="eastAsia" w:ascii="宋体" w:hAnsi="宋体" w:eastAsia="宋体" w:cs="宋体"/>
                <w:color w:val="000000" w:themeColor="text1"/>
                <w:kern w:val="0"/>
                <w:sz w:val="21"/>
                <w:szCs w:val="21"/>
                <w14:textFill>
                  <w14:solidFill>
                    <w14:schemeClr w14:val="tx1"/>
                  </w14:solidFill>
                </w14:textFill>
              </w:rPr>
              <w:t>提供原厂售后服务承诺函。</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8</w:t>
            </w:r>
          </w:p>
        </w:tc>
        <w:tc>
          <w:tcPr>
            <w:tcW w:w="666"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售后服务 4（响应时间）</w:t>
            </w:r>
          </w:p>
        </w:tc>
        <w:tc>
          <w:tcPr>
            <w:tcW w:w="391"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维修响应时间≤24小时，维修到达现场时间≤4小时。</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tabs>
                <w:tab w:val="left" w:pos="149"/>
              </w:tabs>
              <w:kinsoku/>
              <w:wordWrap/>
              <w:overflowPunct/>
              <w:topLinePunct w:val="0"/>
              <w:autoSpaceDE/>
              <w:autoSpaceDN/>
              <w:bidi w:val="0"/>
              <w:adjustRightInd/>
              <w:snapToGrid/>
              <w:spacing w:line="320" w:lineRule="exact"/>
              <w:ind w:left="124" w:leftChars="1" w:hanging="122" w:hangingChars="6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9</w:t>
            </w:r>
          </w:p>
        </w:tc>
        <w:tc>
          <w:tcPr>
            <w:tcW w:w="666"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4" w:leftChars="-4" w:hanging="4" w:hangingChars="2"/>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备品备件要求（零配件）</w:t>
            </w:r>
          </w:p>
        </w:tc>
        <w:tc>
          <w:tcPr>
            <w:tcW w:w="391"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130" w:leftChars="-14" w:hanging="159" w:hangingChars="76"/>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由供应商承诺项目使用寿命周期内保证零配件供应。</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left="-6" w:leftChars="-64" w:hanging="128" w:hangingChars="61"/>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127" w:leftChars="24" w:hanging="77" w:hangingChars="37"/>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4" w:hRule="atLeast"/>
        </w:trPr>
        <w:tc>
          <w:tcPr>
            <w:tcW w:w="259" w:type="pct"/>
            <w:tcMar>
              <w:top w:w="45" w:type="dxa"/>
              <w:left w:w="55" w:type="dxa"/>
              <w:bottom w:w="45" w:type="dxa"/>
              <w:right w:w="55" w:type="dxa"/>
            </w:tcMar>
            <w:vAlign w:val="center"/>
          </w:tcPr>
          <w:p>
            <w:pPr>
              <w:pStyle w:val="12"/>
              <w:keepNext w:val="0"/>
              <w:keepLines w:val="0"/>
              <w:pageBreakBefore w:val="0"/>
              <w:tabs>
                <w:tab w:val="left" w:pos="149"/>
              </w:tabs>
              <w:kinsoku/>
              <w:wordWrap/>
              <w:overflowPunct/>
              <w:topLinePunct w:val="0"/>
              <w:autoSpaceDE/>
              <w:autoSpaceDN/>
              <w:bidi w:val="0"/>
              <w:adjustRightInd/>
              <w:snapToGrid/>
              <w:spacing w:line="320" w:lineRule="exact"/>
              <w:ind w:left="124" w:leftChars="1" w:hanging="122" w:hangingChars="6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10</w:t>
            </w:r>
          </w:p>
        </w:tc>
        <w:tc>
          <w:tcPr>
            <w:tcW w:w="666"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专用工具</w:t>
            </w:r>
          </w:p>
        </w:tc>
        <w:tc>
          <w:tcPr>
            <w:tcW w:w="391"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130" w:leftChars="-14" w:hanging="159" w:hangingChars="76"/>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描述应提供的配套专修工具和使用工具。</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ind w:left="-6" w:leftChars="-64" w:hanging="128" w:hangingChars="61"/>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127" w:leftChars="24" w:hanging="77" w:hangingChars="37"/>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tabs>
                <w:tab w:val="left" w:pos="149"/>
              </w:tabs>
              <w:kinsoku/>
              <w:wordWrap/>
              <w:overflowPunct/>
              <w:topLinePunct w:val="0"/>
              <w:autoSpaceDE/>
              <w:autoSpaceDN/>
              <w:bidi w:val="0"/>
              <w:adjustRightInd/>
              <w:snapToGrid/>
              <w:spacing w:line="320" w:lineRule="exact"/>
              <w:ind w:left="124" w:leftChars="1" w:hanging="122" w:hangingChars="6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11</w:t>
            </w:r>
          </w:p>
        </w:tc>
        <w:tc>
          <w:tcPr>
            <w:tcW w:w="666"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知识产权</w:t>
            </w:r>
          </w:p>
        </w:tc>
        <w:tc>
          <w:tcPr>
            <w:tcW w:w="391"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130" w:leftChars="-14" w:hanging="159" w:hangingChars="76"/>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报价供应商应当保证采购单位在使用该物资或其任何一部分时，不受第三方侵权指控。同时，报价供应商不得向第三方泄露采购机构提供的技术文件等材料。基于项目合同履行形成的知识产权和其他权益，其权属归采购单位所有，法律另有规定的除外。</w:t>
            </w:r>
          </w:p>
        </w:tc>
        <w:tc>
          <w:tcPr>
            <w:tcW w:w="352"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6" w:leftChars="-64" w:hanging="128" w:hangingChars="61"/>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127" w:leftChars="24" w:hanging="77" w:hangingChars="37"/>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tabs>
                <w:tab w:val="left" w:pos="149"/>
              </w:tabs>
              <w:kinsoku/>
              <w:wordWrap/>
              <w:overflowPunct/>
              <w:topLinePunct w:val="0"/>
              <w:autoSpaceDE/>
              <w:autoSpaceDN/>
              <w:bidi w:val="0"/>
              <w:adjustRightInd/>
              <w:snapToGrid/>
              <w:spacing w:line="320" w:lineRule="exact"/>
              <w:ind w:left="124" w:leftChars="1" w:hanging="122" w:hangingChars="6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12</w:t>
            </w:r>
          </w:p>
        </w:tc>
        <w:tc>
          <w:tcPr>
            <w:tcW w:w="666"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物资编目编码、打码贴签要求</w:t>
            </w:r>
          </w:p>
        </w:tc>
        <w:tc>
          <w:tcPr>
            <w:tcW w:w="391"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130" w:leftChars="-14" w:hanging="159" w:hangingChars="76"/>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615"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本项目对物资的编目编码、打码贴签要求，报价供应商应当予以明确响应，相关费用包含在报价中。</w:t>
            </w:r>
          </w:p>
        </w:tc>
        <w:tc>
          <w:tcPr>
            <w:tcW w:w="352"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6" w:leftChars="-64" w:hanging="128" w:hangingChars="61"/>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tabs>
                <w:tab w:val="left" w:pos="149"/>
              </w:tabs>
              <w:kinsoku/>
              <w:wordWrap/>
              <w:overflowPunct/>
              <w:topLinePunct w:val="0"/>
              <w:autoSpaceDE/>
              <w:autoSpaceDN/>
              <w:bidi w:val="0"/>
              <w:adjustRightInd/>
              <w:snapToGrid/>
              <w:spacing w:line="320" w:lineRule="exact"/>
              <w:ind w:left="127" w:leftChars="24" w:hanging="77" w:hangingChars="37"/>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企业承诺</w:t>
            </w:r>
          </w:p>
        </w:tc>
      </w:tr>
    </w:tbl>
    <w:p>
      <w:pPr>
        <w:rPr>
          <w:rFonts w:hint="eastAsia" w:ascii="黑体" w:hAnsi="黑体" w:eastAsia="宋体" w:cs="黑体"/>
          <w:b/>
          <w:bCs/>
          <w:color w:val="auto"/>
          <w:sz w:val="28"/>
          <w:szCs w:val="28"/>
          <w:lang w:eastAsia="zh-CN"/>
        </w:rPr>
      </w:pPr>
      <w:r>
        <w:rPr>
          <w:rFonts w:hint="eastAsia" w:ascii="黑体" w:hAnsi="黑体" w:eastAsia="宋体" w:cs="黑体"/>
          <w:b/>
          <w:bCs/>
          <w:color w:val="auto"/>
          <w:sz w:val="28"/>
          <w:szCs w:val="28"/>
          <w:lang w:eastAsia="zh-CN"/>
        </w:rPr>
        <w:br w:type="page"/>
      </w:r>
    </w:p>
    <w:p>
      <w:pPr>
        <w:pStyle w:val="7"/>
        <w:keepNext w:val="0"/>
        <w:keepLines w:val="0"/>
        <w:pageBreakBefore w:val="0"/>
        <w:widowControl/>
        <w:numPr>
          <w:ilvl w:val="0"/>
          <w:numId w:val="1"/>
        </w:numPr>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黑体" w:hAnsi="黑体" w:eastAsia="宋体" w:cs="黑体"/>
          <w:b/>
          <w:bCs/>
          <w:color w:val="auto"/>
          <w:sz w:val="28"/>
          <w:szCs w:val="28"/>
          <w:lang w:eastAsia="zh-CN"/>
        </w:rPr>
      </w:pPr>
      <w:r>
        <w:rPr>
          <w:rFonts w:hint="eastAsia" w:ascii="黑体" w:hAnsi="黑体" w:eastAsia="宋体" w:cs="黑体"/>
          <w:b/>
          <w:bCs/>
          <w:color w:val="auto"/>
          <w:sz w:val="28"/>
          <w:szCs w:val="28"/>
          <w:lang w:eastAsia="zh-CN"/>
        </w:rPr>
        <w:t>技术要求</w:t>
      </w:r>
      <w:bookmarkEnd w:id="15"/>
      <w:bookmarkEnd w:id="16"/>
      <w:bookmarkEnd w:id="17"/>
      <w:bookmarkEnd w:id="18"/>
      <w:bookmarkEnd w:id="19"/>
      <w:bookmarkEnd w:id="20"/>
      <w:bookmarkEnd w:id="21"/>
      <w:bookmarkEnd w:id="22"/>
      <w:bookmarkEnd w:id="23"/>
      <w:bookmarkEnd w:id="24"/>
    </w:p>
    <w:tbl>
      <w:tblPr>
        <w:tblStyle w:val="13"/>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1"/>
        <w:gridCol w:w="1089"/>
        <w:gridCol w:w="711"/>
        <w:gridCol w:w="5147"/>
        <w:gridCol w:w="667"/>
        <w:gridCol w:w="13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14"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序号</w:t>
            </w:r>
          </w:p>
        </w:tc>
        <w:tc>
          <w:tcPr>
            <w:tcW w:w="5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pacing w:val="3"/>
                <w:sz w:val="21"/>
                <w:szCs w:val="21"/>
                <w:lang w:eastAsia="zh-CN"/>
                <w14:textFill>
                  <w14:solidFill>
                    <w14:schemeClr w14:val="tx1"/>
                  </w14:solidFill>
                </w14:textFill>
              </w:rPr>
            </w:pPr>
            <w:r>
              <w:rPr>
                <w:rFonts w:hint="eastAsia" w:ascii="宋体" w:hAnsi="宋体" w:eastAsia="宋体" w:cs="宋体"/>
                <w:b/>
                <w:color w:val="000000" w:themeColor="text1"/>
                <w:spacing w:val="3"/>
                <w:sz w:val="21"/>
                <w:szCs w:val="21"/>
                <w14:textFill>
                  <w14:solidFill>
                    <w14:schemeClr w14:val="tx1"/>
                  </w14:solidFill>
                </w14:textFill>
              </w:rPr>
              <w:t>需求名称</w:t>
            </w: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pacing w:val="5"/>
                <w:sz w:val="21"/>
                <w:szCs w:val="21"/>
                <w14:textFill>
                  <w14:solidFill>
                    <w14:schemeClr w14:val="tx1"/>
                  </w14:solidFill>
                </w14:textFill>
              </w:rPr>
              <w:t>参数</w:t>
            </w:r>
            <w:r>
              <w:rPr>
                <w:rFonts w:hint="eastAsia" w:ascii="宋体" w:hAnsi="宋体" w:eastAsia="宋体" w:cs="宋体"/>
                <w:b/>
                <w:color w:val="000000" w:themeColor="text1"/>
                <w:spacing w:val="14"/>
                <w:sz w:val="21"/>
                <w:szCs w:val="21"/>
                <w14:textFill>
                  <w14:solidFill>
                    <w14:schemeClr w14:val="tx1"/>
                  </w14:solidFill>
                </w14:textFill>
              </w:rPr>
              <w:t>性质</w:t>
            </w:r>
          </w:p>
        </w:tc>
        <w:tc>
          <w:tcPr>
            <w:tcW w:w="272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需求具体内容</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是否量化</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备注（证明材料等其他要求）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69" w:hRule="atLeast"/>
        </w:trPr>
        <w:tc>
          <w:tcPr>
            <w:tcW w:w="5000" w:type="pct"/>
            <w:gridSpan w:val="6"/>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firstLine="2" w:firstLineChars="1"/>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pacing w:val="2"/>
                <w:sz w:val="21"/>
                <w:szCs w:val="21"/>
                <w14:textFill>
                  <w14:solidFill>
                    <w14:schemeClr w14:val="tx1"/>
                  </w14:solidFill>
                </w14:textFill>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47"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firstLine="1" w:firstLineChars="1"/>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1</w:t>
            </w:r>
          </w:p>
        </w:tc>
        <w:tc>
          <w:tcPr>
            <w:tcW w:w="5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基本要求</w:t>
            </w: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本设备为呼吸科应用3D UNet 医学影像模型训练平台建设，AI一体化算力平台，用于胸部CT三维体数据全自动分割、肺组织、肺结节、肺气肿、气道三维量化分析、临床辅助诊断、肺部AI模型科研微调训练；支持本地私有化部署，患者影像数据不出院，符合医疗数据安全规范；预装成熟3D UNet分割推理框架，开箱即用，使用户能够自主完成从数据预处理到模型 训练推理、优化的全流程工作，实现肺部解剖结构及病灶的三维体素级智能分隔。软件平台包括3D UNet算法核心功能、智能体模块、通用语言大模型、算力管理平台、数据资产管理模块等；硬件设备为影像AI训练/推理一体机2台。</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0"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firstLine="1" w:firstLineChars="1"/>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7"/>
                <w:sz w:val="21"/>
                <w:szCs w:val="21"/>
                <w:lang w:eastAsia="zh-CN"/>
                <w14:textFill>
                  <w14:solidFill>
                    <w14:schemeClr w14:val="tx1"/>
                  </w14:solidFill>
                </w14:textFill>
              </w:rPr>
              <w:t>2</w:t>
            </w:r>
          </w:p>
        </w:tc>
        <w:tc>
          <w:tcPr>
            <w:tcW w:w="5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标准规范</w:t>
            </w: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国家或者行业标准</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8"/>
                <w:sz w:val="21"/>
                <w:szCs w:val="21"/>
                <w:lang w:eastAsia="zh-CN"/>
                <w14:textFill>
                  <w14:solidFill>
                    <w14:schemeClr w14:val="tx1"/>
                  </w14:solidFill>
                </w14:textFill>
              </w:rPr>
              <w:t>3</w:t>
            </w:r>
          </w:p>
        </w:tc>
        <w:tc>
          <w:tcPr>
            <w:tcW w:w="5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3D UNet 算法核心功能（临床分割）</w:t>
            </w: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numPr>
                <w:ilvl w:val="0"/>
                <w:numId w:val="2"/>
              </w:numPr>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底层原生搭载 3D UNet 网络推理引擎，支持标准 3D 卷积、3D 池化、跳跃连接特征融合，适配胸部 CT 三维体素数据完整空间特征提取，解决 2D 算法断层割裂问题；</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2. 数据预处理：支持DICOM→NIfTI自动格式转换；支持CT值归一化；支持各向同性重采样；支持自动去床板、去空气。</w:t>
            </w:r>
          </w:p>
          <w:p>
            <w:pPr>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 模型架构：基于3D UNet架构，支持标准3D卷积、3D池化、跳跃连接特征融合；内置nnUNet级联优化策略；支持多尺度Patch滑动窗口推理。</w:t>
            </w:r>
          </w:p>
          <w:p>
            <w:pPr>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分割能力：支持多标签同时分割，至少涵盖：肺左/右叶、肺段、气道、血管、胸膜、纵隔、肋骨、胸腔积液、磨玻璃结节、实性结节、混合密度结节、肺炎实变、肺气肿区域、支气管扩张病灶。</w:t>
            </w:r>
          </w:p>
          <w:p>
            <w:pPr>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 训练策略：支持Dice+Focal组合损失函数；支持5折交叉验证；支持自动混合精度训练；支持梯度累积；支持学习率自动衰减；支持TensorBoard训练监控。</w:t>
            </w:r>
          </w:p>
          <w:p>
            <w:pPr>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 推理引擎：支持512×512×N完整CT序列推理；支持批量推理；输出三维体素分割掩码。</w:t>
            </w:r>
          </w:p>
          <w:p>
            <w:pPr>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 后处理：支持连通域分析去假阳性；支持形态学开闭运算修正边缘；支持小目标保留策略。</w:t>
            </w:r>
          </w:p>
          <w:p>
            <w:pPr>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 模型倒出：支持导出ONNX格式模型文件，便于集成部署。</w:t>
            </w:r>
          </w:p>
          <w:p>
            <w:pPr>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 硬件适配：兼容NVIDIA GPU（CUDA 11.x及以上），支持单卡及多卡训练。</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8"/>
                <w:sz w:val="21"/>
                <w:szCs w:val="21"/>
                <w:lang w:eastAsia="zh-CN"/>
                <w14:textFill>
                  <w14:solidFill>
                    <w14:schemeClr w14:val="tx1"/>
                  </w14:solidFill>
                </w14:textFill>
              </w:rPr>
            </w:pPr>
            <w:r>
              <w:rPr>
                <w:rFonts w:hint="eastAsia" w:ascii="宋体" w:hAnsi="宋体" w:eastAsia="宋体" w:cs="宋体"/>
                <w:color w:val="000000" w:themeColor="text1"/>
                <w:spacing w:val="-8"/>
                <w:sz w:val="21"/>
                <w:szCs w:val="21"/>
                <w:lang w:eastAsia="zh-CN"/>
                <w14:textFill>
                  <w14:solidFill>
                    <w14:schemeClr w14:val="tx1"/>
                  </w14:solidFill>
                </w14:textFill>
              </w:rPr>
              <w:t>4</w:t>
            </w:r>
          </w:p>
        </w:tc>
        <w:tc>
          <w:tcPr>
            <w:tcW w:w="5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通用模型部署</w:t>
            </w: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提供一套通用的大模型，支持完全本地化离线部署，所有模型、数据、交互均运行于用户本地环境，无外网依赖，无数据外传风险；</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原生支持≥32K 上下文长度，可扩展至 128K 长上下文模式，满足长文档完整解析、多轮深度对话的语义理解需求；</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支持 FP16、INT8、INT4（AWQ/GPTQ）多种量化精度，可根据硬件环境灵活切换，量化后核心能力精度损失可控；</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具备文本生成、信息抽取、摘要总结、分类聚类、逻辑推理、代码辅助、知识问答等通用能力，可适配垂直场景定制化需求；</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单节点双 GPU 配置下，支持≥20 路并发对话请求，首字响应平均延迟≤1 秒；</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兼容 vLLM、TensorRT-LLM 等主流推理加速框架，高并发场景下可显著提升 GPU 资源利用率；</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restar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8"/>
                <w:sz w:val="21"/>
                <w:szCs w:val="21"/>
                <w:lang w:eastAsia="zh-CN"/>
                <w14:textFill>
                  <w14:solidFill>
                    <w14:schemeClr w14:val="tx1"/>
                  </w14:solidFill>
                </w14:textFill>
              </w:rPr>
            </w:pPr>
            <w:r>
              <w:rPr>
                <w:rFonts w:hint="eastAsia" w:ascii="宋体" w:hAnsi="宋体" w:eastAsia="宋体" w:cs="宋体"/>
                <w:color w:val="000000" w:themeColor="text1"/>
                <w:spacing w:val="-8"/>
                <w:sz w:val="21"/>
                <w:szCs w:val="21"/>
                <w:lang w:eastAsia="zh-CN"/>
                <w14:textFill>
                  <w14:solidFill>
                    <w14:schemeClr w14:val="tx1"/>
                  </w14:solidFill>
                </w14:textFill>
              </w:rPr>
              <w:t>5</w:t>
            </w:r>
          </w:p>
        </w:tc>
        <w:tc>
          <w:tcPr>
            <w:tcW w:w="575" w:type="pct"/>
            <w:vMerge w:val="restar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智能体模块</w:t>
            </w: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知识库基础管理：</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支持创建多个知识库，以区分不同的使用场景；</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支持通用型知识库，支持上传本地文件或手动录入。</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支持对知识库文档重新向量化；</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文档管理：支持上传文本文件文档，包括 Markdown、TXT、DOCX、PDF、HTML、XLSX、XLS、CSV 格式；</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支持上传 QA 问答对，并提供 QA 问答对模板；</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支持知识库文档的启用状态调整，开启或关闭文档；</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支持知识库文档的命令处理方式，如模型优化、直接回答；</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支持导出文档；</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firstLine="210" w:firstLineChars="1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模型对接：支持对接主流的大模型，包括包括本地私有大模型、国内公共大模型；支持主流语音识别模型对接；支持主流语音合成模型对接；</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支持设置语音播放的声音和语速；</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支持自定义模型参数设置；</w:t>
            </w:r>
          </w:p>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支持定义模型的权限；</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firstLine="210" w:firstLineChars="1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restar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8"/>
                <w:sz w:val="21"/>
                <w:szCs w:val="21"/>
                <w:lang w:eastAsia="zh-CN"/>
                <w14:textFill>
                  <w14:solidFill>
                    <w14:schemeClr w14:val="tx1"/>
                  </w14:solidFill>
                </w14:textFill>
              </w:rPr>
            </w:pPr>
            <w:r>
              <w:rPr>
                <w:rFonts w:hint="eastAsia" w:ascii="宋体" w:hAnsi="宋体" w:eastAsia="宋体" w:cs="宋体"/>
                <w:color w:val="000000" w:themeColor="text1"/>
                <w:spacing w:val="-8"/>
                <w:sz w:val="21"/>
                <w:szCs w:val="21"/>
                <w:lang w:eastAsia="zh-CN"/>
                <w14:textFill>
                  <w14:solidFill>
                    <w14:schemeClr w14:val="tx1"/>
                  </w14:solidFill>
                </w14:textFill>
              </w:rPr>
              <w:t>6</w:t>
            </w:r>
          </w:p>
        </w:tc>
        <w:tc>
          <w:tcPr>
            <w:tcW w:w="575" w:type="pct"/>
            <w:vMerge w:val="restar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算力管理平台</w:t>
            </w: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所投算力管理平台，具有相关的软件著作权，提供证明文件。</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default" w:ascii="宋体" w:hAnsi="宋体" w:eastAsia="宋体" w:cs="宋体"/>
                <w:bCs/>
                <w:color w:val="000000" w:themeColor="text1"/>
                <w:sz w:val="21"/>
                <w:szCs w:val="21"/>
                <w:highlight w:val="none"/>
                <w:lang w:val="en-US"/>
                <w14:textFill>
                  <w14:solidFill>
                    <w14:schemeClr w14:val="tx1"/>
                  </w14:solidFill>
                </w14:textFill>
              </w:rPr>
            </w:pPr>
            <w:r>
              <w:rPr>
                <w:rFonts w:hint="eastAsia" w:ascii="宋体" w:hAnsi="宋体" w:eastAsia="宋体" w:cs="宋体"/>
                <w:bCs/>
                <w:color w:val="000000" w:themeColor="text1"/>
                <w:sz w:val="21"/>
                <w:szCs w:val="21"/>
                <w:highlight w:val="none"/>
                <w:lang w:val="en-US" w:eastAsia="zh-CN"/>
                <w14:textFill>
                  <w14:solidFill>
                    <w14:schemeClr w14:val="tx1"/>
                  </w14:solidFill>
                </w14:textFill>
              </w:rPr>
              <w:t>证书复印件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平台提供自定义算力资源规格，设置不同的</w:t>
            </w:r>
            <w:r>
              <w:rPr>
                <w:rStyle w:val="14"/>
                <w:rFonts w:hint="eastAsia" w:ascii="宋体" w:hAnsi="宋体" w:eastAsia="宋体" w:cs="宋体"/>
                <w:color w:val="000000" w:themeColor="text1"/>
                <w:sz w:val="21"/>
                <w:szCs w:val="21"/>
                <w14:textFill>
                  <w14:solidFill>
                    <w14:schemeClr w14:val="tx1"/>
                  </w14:solidFill>
                </w14:textFill>
              </w:rPr>
              <w:t>算力类型数量上限</w:t>
            </w:r>
            <w:r>
              <w:rPr>
                <w:rStyle w:val="15"/>
                <w:rFonts w:hint="eastAsia" w:ascii="宋体" w:hAnsi="宋体" w:eastAsia="宋体" w:cs="宋体"/>
                <w:color w:val="000000" w:themeColor="text1"/>
                <w:sz w:val="21"/>
                <w:szCs w:val="21"/>
                <w14:textFill>
                  <w14:solidFill>
                    <w14:schemeClr w14:val="tx1"/>
                  </w14:solidFill>
                </w14:textFill>
              </w:rPr>
              <w:t>，以满足精细化的资源管控策略。</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平台提供在界面上配置多个调度算法的灵活组合和动态切换，包括Binpack、Spread、DRF和基于优先级的调度，以满足不同的工作负载要求。</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平台提供用户提交任务定义优先级功能，可在紧急情况下抢占算力资源。</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平台提供多种物理拓扑感知图调度策略，包括但不限于调度到同一机柜</w:t>
            </w:r>
            <w:r>
              <w:rPr>
                <w:rStyle w:val="15"/>
                <w:rFonts w:hint="eastAsia" w:ascii="宋体" w:hAnsi="宋体" w:eastAsia="宋体" w:cs="宋体"/>
                <w:color w:val="000000" w:themeColor="text1"/>
                <w:sz w:val="21"/>
                <w:szCs w:val="21"/>
                <w14:textFill>
                  <w14:solidFill>
                    <w14:schemeClr w14:val="tx1"/>
                  </w14:solidFill>
                </w14:textFill>
              </w:rPr>
              <w:t>，调度到相邻机柜，尽量调度到不同机柜等场景</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支持算力集群GPU资源碎片整理，支持通过设置固定周期或间隔执行，将零散任务聚合到低负载节点，释放低负载节点显卡。</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需满足显存利用率、算力利用率、持续时间等指标的阈值。</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支持对英伟达及国产卡芯片的算力与显存自定义分片，并确保资源隔离。</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支持跨地域、多架构算力集群的统一纳管与运维，提供集群创建、编辑与状态监控的全生命周期管理。</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支持Nvidia服务器的自动化纳管，包括驱动自动安装、GPU设备动态发现与资产注册，并自动部署监控组件，</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在统一视图中集中展示所有显卡的完整资产与健康状态。</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restar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8"/>
                <w:sz w:val="21"/>
                <w:szCs w:val="21"/>
                <w:lang w:eastAsia="zh-CN"/>
                <w14:textFill>
                  <w14:solidFill>
                    <w14:schemeClr w14:val="tx1"/>
                  </w14:solidFill>
                </w14:textFill>
              </w:rPr>
            </w:pPr>
            <w:r>
              <w:rPr>
                <w:rFonts w:hint="eastAsia" w:ascii="宋体" w:hAnsi="宋体" w:eastAsia="宋体" w:cs="宋体"/>
                <w:color w:val="000000" w:themeColor="text1"/>
                <w:spacing w:val="-8"/>
                <w:sz w:val="21"/>
                <w:szCs w:val="21"/>
                <w:lang w:eastAsia="zh-CN"/>
                <w14:textFill>
                  <w14:solidFill>
                    <w14:schemeClr w14:val="tx1"/>
                  </w14:solidFill>
                </w14:textFill>
              </w:rPr>
              <w:t>7</w:t>
            </w:r>
          </w:p>
        </w:tc>
        <w:tc>
          <w:tcPr>
            <w:tcW w:w="575" w:type="pct"/>
            <w:vMerge w:val="restar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数据资产管理平台</w:t>
            </w: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平台提供模型与数据集的全生命周期版本管理，支持版本对比、版本回滚。</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平台提供模型与数据集的存储与使用加解密功能，并实现其全生命周期的操作溯源，以满足安全与合规审计要求。</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支持模型文件基于 AES、SM4 等加密算法进行上传下载加密保护，并通过 SDK 实现客户端本地加密，确保模型文件以密文形式完成传输与存储，支持通过授权 Token 解密模型。实现模型“存储加密、传输加密、运行解密、明文不落盘”的全链路安全防护能力</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平台提供数据预热功能，支持将指定模型与数据集预加载至计算节点的本地NVMe缓存，实现高速缓存以大幅减少训练任务的载入时间。</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构建模型类的应用空间，提供独立运行环境及可视化管理界面，支持通过Git管理源码、自动构建、在线部署和在线预览体验，并具备发布、停止、重新发布等生命周期管理能力，可实时展示运行状态、日志信息及模型能力概览。</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支持对接多套分布式或者并行高性能存储系统，不限于开源存储或商业存储系统，支持用户通过对象存储协议管理平台数据集或模型数据，数据访问权限具有不可见、只读和读写等权限。</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支持模型、数据集等资产按工作空间、租户和平台三层权限进行发布与管理，并实现层级间的权限隔离。</w:t>
            </w:r>
          </w:p>
        </w:tc>
        <w:tc>
          <w:tcPr>
            <w:tcW w:w="352"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restar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8"/>
                <w:sz w:val="21"/>
                <w:szCs w:val="21"/>
                <w:lang w:eastAsia="zh-CN"/>
                <w14:textFill>
                  <w14:solidFill>
                    <w14:schemeClr w14:val="tx1"/>
                  </w14:solidFill>
                </w14:textFill>
              </w:rPr>
            </w:pPr>
            <w:r>
              <w:rPr>
                <w:rFonts w:hint="eastAsia" w:ascii="宋体" w:hAnsi="宋体" w:eastAsia="宋体" w:cs="宋体"/>
                <w:color w:val="000000" w:themeColor="text1"/>
                <w:spacing w:val="-8"/>
                <w:sz w:val="21"/>
                <w:szCs w:val="21"/>
                <w:lang w:eastAsia="zh-CN"/>
                <w14:textFill>
                  <w14:solidFill>
                    <w14:schemeClr w14:val="tx1"/>
                  </w14:solidFill>
                </w14:textFill>
              </w:rPr>
              <w:t>8</w:t>
            </w:r>
          </w:p>
        </w:tc>
        <w:tc>
          <w:tcPr>
            <w:tcW w:w="575" w:type="pct"/>
            <w:vMerge w:val="restart"/>
            <w:tcMar>
              <w:top w:w="45" w:type="dxa"/>
              <w:left w:w="55" w:type="dxa"/>
              <w:bottom w:w="45" w:type="dxa"/>
              <w:right w:w="55" w:type="dxa"/>
            </w:tcMar>
            <w:vAlign w:val="center"/>
          </w:tcPr>
          <w:p>
            <w:pPr>
              <w:keepNext w:val="0"/>
              <w:keepLines w:val="0"/>
              <w:pageBreakBefore w:val="0"/>
              <w:tabs>
                <w:tab w:val="left" w:pos="275"/>
              </w:tabs>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AI模型开发平台</w:t>
            </w: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支持集成IDE开发环境，包括Jupyter Notebook、VSCode、Terminal等工具。</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支持通过一键点击方式启动本地 VS Code 并自动连接开发实例，实现代码的在线编辑、上传、同步及远程开发，提升研发便捷性与开发效率。</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lang w:eastAsia="zh-CN"/>
                <w14:textFill>
                  <w14:solidFill>
                    <w14:schemeClr w14:val="tx1"/>
                  </w14:solidFill>
                </w14:textFill>
              </w:rPr>
            </w:pP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支持通过浏览器或本地SSH方式远程登录到集成环境。</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平台预置主流AI开发框架，覆盖TensorFlow、PyTorch、PaddlePaddle等。</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平台提供不少于10套开发环境模板，并支持用户基于任意模板进行克隆与自定义配置。</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提供Windows容器调度能力，支持Windows的AI Agent工作流的开发与运行。</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lang w:eastAsia="zh-CN"/>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支持快速微调与专家微调两种模式，满足不同场景需求；支持自定义微调模板并快速发起任务，实现参数配置与执行管理一体化，提升效率与灵活性。</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支持大模型增量训练，包括但不限于（增量）预训练、指令监督微调、奖励模型训练、PPO 训练、DPO 训练和 ORPO 训练，支持GaLore、BAdam、DoRA、LongLoRA、LLaMA Pro、Mixture-of-Depths、LoRA+、LoftQ 和 Agent 微调等算法。</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支持自定义调节训练任务的参数和数量，提供多种基于大模型训练和微调模版，包括Llama、Qwen和DeepSeek 等。</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需内置各种高性能算子，包括：Flash attention 2、Memory efficient attention (xformers)等。</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支持云原生应用，提供应用实例管理能力，支持资源规格、Ingress 暴露、持久化存储挂载、环境变量注入等云原生运行时配置，并支持应用实例的弹性伸缩及生命周期管理，支持从应用商店快捷部署实现应用全流程自动化交付与精细化运维管理。</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restar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8"/>
                <w:sz w:val="21"/>
                <w:szCs w:val="21"/>
                <w:lang w:eastAsia="zh-CN"/>
                <w14:textFill>
                  <w14:solidFill>
                    <w14:schemeClr w14:val="tx1"/>
                  </w14:solidFill>
                </w14:textFill>
              </w:rPr>
            </w:pPr>
            <w:r>
              <w:rPr>
                <w:rFonts w:hint="eastAsia" w:ascii="宋体" w:hAnsi="宋体" w:eastAsia="宋体" w:cs="宋体"/>
                <w:color w:val="000000" w:themeColor="text1"/>
                <w:spacing w:val="-8"/>
                <w:sz w:val="21"/>
                <w:szCs w:val="21"/>
                <w:lang w:eastAsia="zh-CN"/>
                <w14:textFill>
                  <w14:solidFill>
                    <w14:schemeClr w14:val="tx1"/>
                  </w14:solidFill>
                </w14:textFill>
              </w:rPr>
              <w:t>9</w:t>
            </w:r>
          </w:p>
        </w:tc>
        <w:tc>
          <w:tcPr>
            <w:tcW w:w="575" w:type="pct"/>
            <w:vMerge w:val="restar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运维管理平台</w:t>
            </w: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平台具备算力感知系统，自动监测用户算力使用率，并在利用率异常偏低时主动向用户发出提醒。</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kern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提供统一的日志采集功能，支持对系统、训练及推理任务日志的实时输出与历史查询</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kern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1" w:line="320" w:lineRule="exact"/>
              <w:ind w:left="2" w:leftChars="1"/>
              <w:rPr>
                <w:rFonts w:hint="eastAsia" w:ascii="宋体" w:hAnsi="宋体" w:eastAsia="宋体" w:cs="宋体"/>
                <w:color w:val="000000" w:themeColor="text1"/>
                <w:spacing w:val="-8"/>
                <w:sz w:val="21"/>
                <w:szCs w:val="21"/>
                <w14:textFill>
                  <w14:solidFill>
                    <w14:schemeClr w14:val="tx1"/>
                  </w14:solidFill>
                </w14:textFill>
              </w:rPr>
            </w:pPr>
          </w:p>
        </w:tc>
        <w:tc>
          <w:tcPr>
            <w:tcW w:w="575" w:type="pct"/>
            <w:vMerge w:val="continue"/>
          </w:tcPr>
          <w:p>
            <w:pPr>
              <w:keepNext w:val="0"/>
              <w:keepLines w:val="0"/>
              <w:pageBreakBefore w:val="0"/>
              <w:kinsoku/>
              <w:wordWrap/>
              <w:overflowPunct/>
              <w:topLinePunct w:val="0"/>
              <w:autoSpaceDE/>
              <w:autoSpaceDN/>
              <w:bidi w:val="0"/>
              <w:adjustRightInd/>
              <w:snapToGrid/>
              <w:spacing w:before="120" w:after="120" w:line="320" w:lineRule="exact"/>
              <w:jc w:val="center"/>
              <w:rPr>
                <w:rFonts w:hint="eastAsia" w:ascii="宋体" w:hAnsi="宋体" w:eastAsia="宋体" w:cs="宋体"/>
                <w:color w:val="000000" w:themeColor="text1"/>
                <w:sz w:val="21"/>
                <w:szCs w:val="21"/>
                <w14:textFill>
                  <w14:solidFill>
                    <w14:schemeClr w14:val="tx1"/>
                  </w14:solidFill>
                </w14:textFill>
              </w:rPr>
            </w:pPr>
          </w:p>
        </w:tc>
        <w:tc>
          <w:tcPr>
            <w:tcW w:w="375" w:type="pct"/>
            <w:tcMar>
              <w:top w:w="45" w:type="dxa"/>
              <w:left w:w="55" w:type="dxa"/>
              <w:bottom w:w="45" w:type="dxa"/>
              <w:right w:w="55" w:type="dxa"/>
            </w:tcMar>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提供完整的对话上下文追溯能力，能够展示所有的用户请求与模型回答内容</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bCs/>
                <w:color w:val="000000" w:themeColor="text1"/>
                <w:kern w:val="0"/>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官网截图或者企业承诺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restar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10</w:t>
            </w:r>
          </w:p>
        </w:tc>
        <w:tc>
          <w:tcPr>
            <w:tcW w:w="575" w:type="pct"/>
            <w:vMerge w:val="restar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影像AI 训练/推理一体机</w:t>
            </w: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CPU：配置≥2 颗中央处理器；单颗物理核心数≥24 核，2.0GHz</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官网截图或者企业承诺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3" w:line="320" w:lineRule="exact"/>
              <w:ind w:left="2" w:leftChars="1"/>
              <w:rPr>
                <w:rFonts w:hint="eastAsia" w:ascii="宋体" w:hAnsi="宋体" w:eastAsia="宋体" w:cs="宋体"/>
                <w:color w:val="000000" w:themeColor="text1"/>
                <w:spacing w:val="-5"/>
                <w:sz w:val="21"/>
                <w:szCs w:val="21"/>
                <w:lang w:eastAsia="zh-CN"/>
                <w14:textFill>
                  <w14:solidFill>
                    <w14:schemeClr w14:val="tx1"/>
                  </w14:solidFill>
                </w14:textFill>
              </w:rPr>
            </w:pPr>
          </w:p>
        </w:tc>
        <w:tc>
          <w:tcPr>
            <w:tcW w:w="575" w:type="pct"/>
            <w:vMerge w:val="continue"/>
          </w:tcPr>
          <w:p>
            <w:pPr>
              <w:pStyle w:val="12"/>
              <w:keepNext w:val="0"/>
              <w:keepLines w:val="0"/>
              <w:pageBreakBefore w:val="0"/>
              <w:kinsoku/>
              <w:wordWrap/>
              <w:overflowPunct/>
              <w:topLinePunct w:val="0"/>
              <w:autoSpaceDE/>
              <w:autoSpaceDN/>
              <w:bidi w:val="0"/>
              <w:adjustRightInd/>
              <w:snapToGrid/>
              <w:spacing w:before="148" w:line="320" w:lineRule="exact"/>
              <w:jc w:val="center"/>
              <w:rPr>
                <w:rFonts w:hint="eastAsia" w:ascii="宋体" w:hAnsi="宋体" w:eastAsia="宋体" w:cs="宋体"/>
                <w:color w:val="000000" w:themeColor="text1"/>
                <w:spacing w:val="4"/>
                <w:sz w:val="21"/>
                <w:szCs w:val="21"/>
                <w:lang w:eastAsia="zh-CN"/>
                <w14:textFill>
                  <w14:solidFill>
                    <w14:schemeClr w14:val="tx1"/>
                  </w14:solidFill>
                </w14:textFill>
              </w:rPr>
            </w:pP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pacing w:val="-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内存：系统总内存容量≥128GB，采用服务器级 ECC 校验内存，预留可用扩展插槽，支持内存纠错以保障 7×24 小时稳定运行；支持≥32根内存插槽。</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官网截图或者企业承诺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3" w:line="320" w:lineRule="exact"/>
              <w:ind w:left="2" w:leftChars="1"/>
              <w:rPr>
                <w:rFonts w:hint="eastAsia" w:ascii="宋体" w:hAnsi="宋体" w:eastAsia="宋体" w:cs="宋体"/>
                <w:color w:val="000000" w:themeColor="text1"/>
                <w:spacing w:val="-5"/>
                <w:sz w:val="21"/>
                <w:szCs w:val="21"/>
                <w:lang w:eastAsia="zh-CN"/>
                <w14:textFill>
                  <w14:solidFill>
                    <w14:schemeClr w14:val="tx1"/>
                  </w14:solidFill>
                </w14:textFill>
              </w:rPr>
            </w:pPr>
          </w:p>
        </w:tc>
        <w:tc>
          <w:tcPr>
            <w:tcW w:w="575" w:type="pct"/>
            <w:vMerge w:val="continue"/>
          </w:tcPr>
          <w:p>
            <w:pPr>
              <w:pStyle w:val="12"/>
              <w:keepNext w:val="0"/>
              <w:keepLines w:val="0"/>
              <w:pageBreakBefore w:val="0"/>
              <w:kinsoku/>
              <w:wordWrap/>
              <w:overflowPunct/>
              <w:topLinePunct w:val="0"/>
              <w:autoSpaceDE/>
              <w:autoSpaceDN/>
              <w:bidi w:val="0"/>
              <w:adjustRightInd/>
              <w:snapToGrid/>
              <w:spacing w:before="148" w:line="320" w:lineRule="exact"/>
              <w:jc w:val="center"/>
              <w:rPr>
                <w:rFonts w:hint="eastAsia" w:ascii="宋体" w:hAnsi="宋体" w:eastAsia="宋体" w:cs="宋体"/>
                <w:color w:val="000000" w:themeColor="text1"/>
                <w:spacing w:val="4"/>
                <w:sz w:val="21"/>
                <w:szCs w:val="21"/>
                <w:lang w:eastAsia="zh-CN"/>
                <w14:textFill>
                  <w14:solidFill>
                    <w14:schemeClr w14:val="tx1"/>
                  </w14:solidFill>
                </w14:textFill>
              </w:rPr>
            </w:pP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pacing w:val="-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硬盘：≥2块480G SATA SSD；≥1块3.84T Nvme；≥2块4T SATA 3.5寸 机械盘；</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官网截图或者企业承诺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3" w:line="320" w:lineRule="exact"/>
              <w:ind w:left="2" w:leftChars="1"/>
              <w:rPr>
                <w:rFonts w:hint="eastAsia" w:ascii="宋体" w:hAnsi="宋体" w:eastAsia="宋体" w:cs="宋体"/>
                <w:color w:val="000000" w:themeColor="text1"/>
                <w:spacing w:val="-5"/>
                <w:sz w:val="21"/>
                <w:szCs w:val="21"/>
                <w:lang w:eastAsia="zh-CN"/>
                <w14:textFill>
                  <w14:solidFill>
                    <w14:schemeClr w14:val="tx1"/>
                  </w14:solidFill>
                </w14:textFill>
              </w:rPr>
            </w:pPr>
          </w:p>
        </w:tc>
        <w:tc>
          <w:tcPr>
            <w:tcW w:w="575" w:type="pct"/>
            <w:vMerge w:val="continue"/>
          </w:tcPr>
          <w:p>
            <w:pPr>
              <w:pStyle w:val="12"/>
              <w:keepNext w:val="0"/>
              <w:keepLines w:val="0"/>
              <w:pageBreakBefore w:val="0"/>
              <w:kinsoku/>
              <w:wordWrap/>
              <w:overflowPunct/>
              <w:topLinePunct w:val="0"/>
              <w:autoSpaceDE/>
              <w:autoSpaceDN/>
              <w:bidi w:val="0"/>
              <w:adjustRightInd/>
              <w:snapToGrid/>
              <w:spacing w:before="148" w:line="320" w:lineRule="exact"/>
              <w:jc w:val="center"/>
              <w:rPr>
                <w:rFonts w:hint="eastAsia" w:ascii="宋体" w:hAnsi="宋体" w:eastAsia="宋体" w:cs="宋体"/>
                <w:color w:val="000000" w:themeColor="text1"/>
                <w:spacing w:val="4"/>
                <w:sz w:val="21"/>
                <w:szCs w:val="21"/>
                <w:lang w:eastAsia="zh-CN"/>
                <w14:textFill>
                  <w14:solidFill>
                    <w14:schemeClr w14:val="tx1"/>
                  </w14:solidFill>
                </w14:textFill>
              </w:rPr>
            </w:pP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pacing w:val="-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Raid卡:  支持raid0/1，≥2G缓存带电容</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官网截图或者企业承诺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3" w:line="320" w:lineRule="exact"/>
              <w:ind w:left="2" w:leftChars="1"/>
              <w:rPr>
                <w:rFonts w:hint="eastAsia" w:ascii="宋体" w:hAnsi="宋体" w:eastAsia="宋体" w:cs="宋体"/>
                <w:color w:val="000000" w:themeColor="text1"/>
                <w:spacing w:val="-5"/>
                <w:sz w:val="21"/>
                <w:szCs w:val="21"/>
                <w:lang w:eastAsia="zh-CN"/>
                <w14:textFill>
                  <w14:solidFill>
                    <w14:schemeClr w14:val="tx1"/>
                  </w14:solidFill>
                </w14:textFill>
              </w:rPr>
            </w:pPr>
          </w:p>
        </w:tc>
        <w:tc>
          <w:tcPr>
            <w:tcW w:w="575" w:type="pct"/>
            <w:vMerge w:val="continue"/>
          </w:tcPr>
          <w:p>
            <w:pPr>
              <w:pStyle w:val="12"/>
              <w:keepNext w:val="0"/>
              <w:keepLines w:val="0"/>
              <w:pageBreakBefore w:val="0"/>
              <w:kinsoku/>
              <w:wordWrap/>
              <w:overflowPunct/>
              <w:topLinePunct w:val="0"/>
              <w:autoSpaceDE/>
              <w:autoSpaceDN/>
              <w:bidi w:val="0"/>
              <w:adjustRightInd/>
              <w:snapToGrid/>
              <w:spacing w:before="148" w:line="320" w:lineRule="exact"/>
              <w:jc w:val="center"/>
              <w:rPr>
                <w:rFonts w:hint="eastAsia" w:ascii="宋体" w:hAnsi="宋体" w:eastAsia="宋体" w:cs="宋体"/>
                <w:color w:val="000000" w:themeColor="text1"/>
                <w:spacing w:val="4"/>
                <w:sz w:val="21"/>
                <w:szCs w:val="21"/>
                <w:lang w:eastAsia="zh-CN"/>
                <w14:textFill>
                  <w14:solidFill>
                    <w14:schemeClr w14:val="tx1"/>
                  </w14:solidFill>
                </w14:textFill>
              </w:rPr>
            </w:pP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pacing w:val="-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显卡：配置≥1 张 NVIDIA  图形计算卡，单卡显存容量≥48GB；支持 CUDA、Tensor Core 加速，兼容 PyTorch、MONAI 等主流深度学习与医学影像框架，提供扩展能力， 支持显卡数量不少于两张。</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tabs>
                <w:tab w:val="left" w:pos="399"/>
              </w:tabs>
              <w:kinsoku/>
              <w:wordWrap/>
              <w:overflowPunct/>
              <w:topLinePunct w:val="0"/>
              <w:autoSpaceDE/>
              <w:autoSpaceDN/>
              <w:bidi w:val="0"/>
              <w:adjustRightInd/>
              <w:snapToGrid/>
              <w:spacing w:line="320" w:lineRule="exac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官网截图或者企业承诺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3" w:line="320" w:lineRule="exact"/>
              <w:ind w:left="2" w:leftChars="1"/>
              <w:rPr>
                <w:rFonts w:hint="eastAsia" w:ascii="宋体" w:hAnsi="宋体" w:eastAsia="宋体" w:cs="宋体"/>
                <w:color w:val="000000" w:themeColor="text1"/>
                <w:spacing w:val="-5"/>
                <w:sz w:val="21"/>
                <w:szCs w:val="21"/>
                <w:lang w:eastAsia="zh-CN"/>
                <w14:textFill>
                  <w14:solidFill>
                    <w14:schemeClr w14:val="tx1"/>
                  </w14:solidFill>
                </w14:textFill>
              </w:rPr>
            </w:pPr>
          </w:p>
        </w:tc>
        <w:tc>
          <w:tcPr>
            <w:tcW w:w="575" w:type="pct"/>
            <w:vMerge w:val="continue"/>
          </w:tcPr>
          <w:p>
            <w:pPr>
              <w:pStyle w:val="12"/>
              <w:keepNext w:val="0"/>
              <w:keepLines w:val="0"/>
              <w:pageBreakBefore w:val="0"/>
              <w:kinsoku/>
              <w:wordWrap/>
              <w:overflowPunct/>
              <w:topLinePunct w:val="0"/>
              <w:autoSpaceDE/>
              <w:autoSpaceDN/>
              <w:bidi w:val="0"/>
              <w:adjustRightInd/>
              <w:snapToGrid/>
              <w:spacing w:before="148" w:line="320" w:lineRule="exact"/>
              <w:jc w:val="center"/>
              <w:rPr>
                <w:rFonts w:hint="eastAsia" w:ascii="宋体" w:hAnsi="宋体" w:eastAsia="宋体" w:cs="宋体"/>
                <w:color w:val="000000" w:themeColor="text1"/>
                <w:spacing w:val="4"/>
                <w:sz w:val="21"/>
                <w:szCs w:val="21"/>
                <w:lang w:eastAsia="zh-CN"/>
                <w14:textFill>
                  <w14:solidFill>
                    <w14:schemeClr w14:val="tx1"/>
                  </w14:solidFill>
                </w14:textFill>
              </w:rPr>
            </w:pP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pacing w:val="-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网络：≥2个千兆，双口10GbE含模块；</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tabs>
                <w:tab w:val="left" w:pos="399"/>
              </w:tabs>
              <w:kinsoku/>
              <w:wordWrap/>
              <w:overflowPunct/>
              <w:topLinePunct w:val="0"/>
              <w:autoSpaceDE/>
              <w:autoSpaceDN/>
              <w:bidi w:val="0"/>
              <w:adjustRightInd/>
              <w:snapToGrid/>
              <w:spacing w:line="320" w:lineRule="exact"/>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官网截图或者企业承诺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vMerge w:val="continue"/>
          </w:tcPr>
          <w:p>
            <w:pPr>
              <w:pStyle w:val="12"/>
              <w:keepNext w:val="0"/>
              <w:keepLines w:val="0"/>
              <w:pageBreakBefore w:val="0"/>
              <w:kinsoku/>
              <w:wordWrap/>
              <w:overflowPunct/>
              <w:topLinePunct w:val="0"/>
              <w:autoSpaceDE/>
              <w:autoSpaceDN/>
              <w:bidi w:val="0"/>
              <w:adjustRightInd/>
              <w:snapToGrid/>
              <w:spacing w:before="173" w:line="320" w:lineRule="exact"/>
              <w:ind w:left="2" w:leftChars="1"/>
              <w:rPr>
                <w:rFonts w:hint="eastAsia" w:ascii="宋体" w:hAnsi="宋体" w:eastAsia="宋体" w:cs="宋体"/>
                <w:color w:val="000000" w:themeColor="text1"/>
                <w:spacing w:val="-5"/>
                <w:sz w:val="21"/>
                <w:szCs w:val="21"/>
                <w:lang w:eastAsia="zh-CN"/>
                <w14:textFill>
                  <w14:solidFill>
                    <w14:schemeClr w14:val="tx1"/>
                  </w14:solidFill>
                </w14:textFill>
              </w:rPr>
            </w:pPr>
          </w:p>
        </w:tc>
        <w:tc>
          <w:tcPr>
            <w:tcW w:w="575" w:type="pct"/>
            <w:vMerge w:val="continue"/>
          </w:tcPr>
          <w:p>
            <w:pPr>
              <w:pStyle w:val="12"/>
              <w:keepNext w:val="0"/>
              <w:keepLines w:val="0"/>
              <w:pageBreakBefore w:val="0"/>
              <w:kinsoku/>
              <w:wordWrap/>
              <w:overflowPunct/>
              <w:topLinePunct w:val="0"/>
              <w:autoSpaceDE/>
              <w:autoSpaceDN/>
              <w:bidi w:val="0"/>
              <w:adjustRightInd/>
              <w:snapToGrid/>
              <w:spacing w:before="148" w:line="320" w:lineRule="exact"/>
              <w:jc w:val="center"/>
              <w:rPr>
                <w:rFonts w:hint="eastAsia" w:ascii="宋体" w:hAnsi="宋体" w:eastAsia="宋体" w:cs="宋体"/>
                <w:color w:val="000000" w:themeColor="text1"/>
                <w:spacing w:val="4"/>
                <w:sz w:val="21"/>
                <w:szCs w:val="21"/>
                <w:lang w:eastAsia="zh-CN"/>
                <w14:textFill>
                  <w14:solidFill>
                    <w14:schemeClr w14:val="tx1"/>
                  </w14:solidFill>
                </w14:textFill>
              </w:rPr>
            </w:pP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pacing w:val="-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冗余电源、风扇</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right="25"/>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官网截图或者企业承诺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11</w:t>
            </w:r>
          </w:p>
        </w:tc>
        <w:tc>
          <w:tcPr>
            <w:tcW w:w="5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lang w:eastAsia="zh-CN"/>
                <w14:textFill>
                  <w14:solidFill>
                    <w14:schemeClr w14:val="tx1"/>
                  </w14:solidFill>
                </w14:textFill>
              </w:rPr>
              <w:t>综合实力1</w:t>
            </w:r>
          </w:p>
        </w:tc>
        <w:tc>
          <w:tcPr>
            <w:tcW w:w="375"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w:t>
            </w:r>
          </w:p>
        </w:tc>
        <w:tc>
          <w:tcPr>
            <w:tcW w:w="272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lang w:eastAsia="zh-CN"/>
                <w14:textFill>
                  <w14:solidFill>
                    <w14:schemeClr w14:val="tx1"/>
                  </w14:solidFill>
                </w14:textFill>
              </w:rPr>
              <w:t>投标供应商提供高新技术企业证书</w:t>
            </w:r>
          </w:p>
        </w:tc>
        <w:tc>
          <w:tcPr>
            <w:tcW w:w="352"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lang w:eastAsia="zh-CN"/>
                <w14:textFill>
                  <w14:solidFill>
                    <w14:schemeClr w14:val="tx1"/>
                  </w14:solidFill>
                </w14:textFill>
              </w:rPr>
              <w:t>否</w:t>
            </w:r>
          </w:p>
        </w:tc>
        <w:tc>
          <w:tcPr>
            <w:tcW w:w="713"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lang w:eastAsia="zh-CN"/>
                <w14:textFill>
                  <w14:solidFill>
                    <w14:schemeClr w14:val="tx1"/>
                  </w14:solidFill>
                </w14:textFill>
              </w:rPr>
              <w:t>证书复印件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9" w:hRule="atLeast"/>
        </w:trPr>
        <w:tc>
          <w:tcPr>
            <w:tcW w:w="259" w:type="pct"/>
            <w:tcMar>
              <w:top w:w="45" w:type="dxa"/>
              <w:left w:w="55" w:type="dxa"/>
              <w:bottom w:w="45" w:type="dxa"/>
              <w:right w:w="55" w:type="dxa"/>
            </w:tcMar>
            <w:vAlign w:val="center"/>
          </w:tcPr>
          <w:p>
            <w:pPr>
              <w:pStyle w:val="12"/>
              <w:keepNext w:val="0"/>
              <w:keepLines w:val="0"/>
              <w:pageBreakBefore w:val="0"/>
              <w:kinsoku/>
              <w:wordWrap/>
              <w:overflowPunct/>
              <w:topLinePunct w:val="0"/>
              <w:autoSpaceDE/>
              <w:autoSpaceDN/>
              <w:bidi w:val="0"/>
              <w:adjustRightInd/>
              <w:snapToGrid/>
              <w:spacing w:line="320" w:lineRule="exact"/>
              <w:ind w:left="2" w:leftChars="1"/>
              <w:jc w:val="center"/>
              <w:rPr>
                <w:rFonts w:hint="eastAsia" w:ascii="宋体" w:hAnsi="宋体" w:eastAsia="宋体" w:cs="宋体"/>
                <w:color w:val="000000" w:themeColor="text1"/>
                <w:spacing w:val="-5"/>
                <w:sz w:val="21"/>
                <w:szCs w:val="21"/>
                <w:lang w:eastAsia="zh-CN"/>
                <w14:textFill>
                  <w14:solidFill>
                    <w14:schemeClr w14:val="tx1"/>
                  </w14:solidFill>
                </w14:textFill>
              </w:rPr>
            </w:pPr>
            <w:r>
              <w:rPr>
                <w:rFonts w:hint="eastAsia" w:ascii="宋体" w:hAnsi="宋体" w:eastAsia="宋体" w:cs="宋体"/>
                <w:color w:val="000000" w:themeColor="text1"/>
                <w:spacing w:val="-5"/>
                <w:sz w:val="21"/>
                <w:szCs w:val="21"/>
                <w:lang w:eastAsia="zh-CN"/>
                <w14:textFill>
                  <w14:solidFill>
                    <w14:schemeClr w14:val="tx1"/>
                  </w14:solidFill>
                </w14:textFill>
              </w:rPr>
              <w:t>12</w:t>
            </w:r>
          </w:p>
        </w:tc>
        <w:tc>
          <w:tcPr>
            <w:tcW w:w="57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验收标准方法</w:t>
            </w:r>
          </w:p>
        </w:tc>
        <w:tc>
          <w:tcPr>
            <w:tcW w:w="375"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t>
            </w:r>
          </w:p>
        </w:tc>
        <w:tc>
          <w:tcPr>
            <w:tcW w:w="272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按照投标文件、采购合同、质量标准等，组织对系统进行质量验收，出具验收报告。验收过程中对于核心参数存疑需检测的，可委托地方具有相应检测能力的机构提供技术支持。</w:t>
            </w:r>
          </w:p>
        </w:tc>
        <w:tc>
          <w:tcPr>
            <w:tcW w:w="352"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否</w:t>
            </w:r>
          </w:p>
        </w:tc>
        <w:tc>
          <w:tcPr>
            <w:tcW w:w="713" w:type="pct"/>
            <w:tcMar>
              <w:top w:w="45" w:type="dxa"/>
              <w:left w:w="55" w:type="dxa"/>
              <w:bottom w:w="45" w:type="dxa"/>
              <w:right w:w="55" w:type="dxa"/>
            </w:tcMar>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企业承诺</w:t>
            </w:r>
          </w:p>
        </w:tc>
      </w:tr>
    </w:tbl>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说明：</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（1）★指标为必须响应指标，任意一项不满足要求即做废标处理；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（2）《采购需求表》备注已明确证明材料种类的，以所注内容或国家行政管理部门、专业检测机构出具的证明材料为准。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（3）★标识指标及▲标识指标须提供技术支持材料，支持材料包括但不限于以下任意一种或几种：产品</w:t>
      </w:r>
      <w:r>
        <w:rPr>
          <w:rFonts w:hint="eastAsia" w:ascii="宋体" w:hAnsi="宋体" w:eastAsia="宋体" w:cs="宋体"/>
          <w:color w:val="auto"/>
          <w:kern w:val="2"/>
          <w:sz w:val="21"/>
          <w:szCs w:val="21"/>
          <w:highlight w:val="none"/>
          <w:lang w:val="en-US" w:eastAsia="zh-CN"/>
        </w:rPr>
        <w:t>规格表、产品宣传彩页、技术白皮书、制造商官方网站发布的产品信息、说明书、检测机构出具的检测报告或生产厂家出具的证明文件等；对参数配置数量、定制产品或待开发软件等功能指标要求以供应商响应承诺为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（4）无标识指标正偏离需参照上述要求提供技术支持材料，未提供的正偏离不予认可。</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pPr>
      <w:r>
        <w:rPr>
          <w:rFonts w:hint="eastAsia" w:ascii="宋体" w:hAnsi="宋体" w:eastAsia="宋体" w:cs="宋体"/>
          <w:color w:val="auto"/>
          <w:kern w:val="2"/>
          <w:sz w:val="21"/>
          <w:szCs w:val="21"/>
          <w:highlight w:val="none"/>
          <w:lang w:val="en-US" w:eastAsia="zh-CN"/>
        </w:rPr>
        <w:t>（5）加注“★”、“▲”号的技术指标均需投标企业提供证明材料（证明材料为“企业承诺的，在技术商务指标参数响应偏离表中体现即可）。</w:t>
      </w:r>
      <w:bookmarkStart w:id="25" w:name="_GoBack"/>
      <w:bookmarkEnd w:id="25"/>
    </w:p>
    <w:sectPr>
      <w:headerReference r:id="rId3" w:type="default"/>
      <w:footerReference r:id="rId4" w:type="default"/>
      <w:pgSz w:w="11906" w:h="16838"/>
      <w:pgMar w:top="1134" w:right="1134"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sdt>
      <w:sdtPr>
        <w:id w:val="1827858875"/>
      </w:sdtP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楷体_GB2312" w:hAnsi="楷体" w:eastAsia="楷体_GB2312" w:cs="楷体"/>
        <w:sz w:val="21"/>
        <w:szCs w:val="21"/>
        <w:lang w:eastAsia="zh-CN"/>
      </w:rPr>
    </w:pPr>
    <w:r>
      <w:rPr>
        <w:sz w:val="21"/>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538470" cy="8891270"/>
          <wp:effectExtent l="0" t="0" r="5080" b="5080"/>
          <wp:wrapNone/>
          <wp:docPr id="46" name="WordPictureWatermark237255" descr="水印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PictureWatermark237255" descr="水印图片"/>
                  <pic:cNvPicPr>
                    <a:picLocks noChangeAspect="1"/>
                  </pic:cNvPicPr>
                </pic:nvPicPr>
                <pic:blipFill>
                  <a:blip r:embed="rId1"/>
                  <a:stretch>
                    <a:fillRect/>
                  </a:stretch>
                </pic:blipFill>
                <pic:spPr>
                  <a:xfrm>
                    <a:off x="0" y="0"/>
                    <a:ext cx="5538470" cy="8891270"/>
                  </a:xfrm>
                  <a:prstGeom prst="rect">
                    <a:avLst/>
                  </a:prstGeom>
                </pic:spPr>
              </pic:pic>
            </a:graphicData>
          </a:graphic>
        </wp:anchor>
      </w:drawing>
    </w:r>
    <w:r>
      <w:rPr>
        <w:rFonts w:hint="eastAsia" w:ascii="楷体_GB2312" w:hAnsi="楷体" w:eastAsia="楷体_GB2312" w:cs="楷体"/>
        <w:sz w:val="21"/>
        <w:szCs w:val="21"/>
      </w:rPr>
      <w:t>第</w:t>
    </w:r>
    <w:r>
      <w:rPr>
        <w:rFonts w:hint="eastAsia" w:ascii="楷体_GB2312" w:hAnsi="楷体" w:eastAsia="楷体_GB2312" w:cs="楷体"/>
        <w:sz w:val="21"/>
        <w:szCs w:val="21"/>
        <w:lang w:eastAsia="zh-CN"/>
      </w:rPr>
      <w:t>六</w:t>
    </w:r>
    <w:r>
      <w:rPr>
        <w:rFonts w:hint="eastAsia" w:ascii="楷体_GB2312" w:hAnsi="楷体" w:eastAsia="楷体_GB2312" w:cs="楷体"/>
        <w:sz w:val="21"/>
        <w:szCs w:val="21"/>
      </w:rPr>
      <w:t>章 采购项目商务和技术要求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D66C86"/>
    <w:multiLevelType w:val="singleLevel"/>
    <w:tmpl w:val="B3D66C86"/>
    <w:lvl w:ilvl="0" w:tentative="0">
      <w:start w:val="2"/>
      <w:numFmt w:val="chineseCounting"/>
      <w:suff w:val="nothing"/>
      <w:lvlText w:val="%1、"/>
      <w:lvlJc w:val="left"/>
      <w:rPr>
        <w:rFonts w:hint="eastAsia"/>
      </w:rPr>
    </w:lvl>
  </w:abstractNum>
  <w:abstractNum w:abstractNumId="1">
    <w:nsid w:val="134AC416"/>
    <w:multiLevelType w:val="singleLevel"/>
    <w:tmpl w:val="134AC416"/>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wOWRjZTg3ZjBlNWMzYzE4YjA1Yzg1MzdmOWRhYTcifQ=="/>
  </w:docVars>
  <w:rsids>
    <w:rsidRoot w:val="00000000"/>
    <w:rsid w:val="1ECF5BC7"/>
    <w:rsid w:val="23E2050F"/>
    <w:rsid w:val="2671770B"/>
    <w:rsid w:val="41FD572E"/>
    <w:rsid w:val="477511A4"/>
    <w:rsid w:val="4BF26A93"/>
    <w:rsid w:val="5255500D"/>
    <w:rsid w:val="7D0B4901"/>
    <w:rsid w:val="7E204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Subtitle"/>
    <w:basedOn w:val="1"/>
    <w:next w:val="1"/>
    <w:qFormat/>
    <w:uiPriority w:val="0"/>
    <w:pPr>
      <w:spacing w:before="240" w:after="60" w:line="312" w:lineRule="auto"/>
      <w:jc w:val="center"/>
      <w:outlineLvl w:val="1"/>
    </w:pPr>
    <w:rPr>
      <w:rFonts w:ascii="等线 Light" w:hAnsi="等线 Light"/>
      <w:b/>
      <w:bCs/>
      <w:kern w:val="28"/>
      <w:sz w:val="32"/>
      <w:szCs w:val="32"/>
    </w:rPr>
  </w:style>
  <w:style w:type="paragraph" w:styleId="4">
    <w:name w:val="Body Text Indent"/>
    <w:basedOn w:val="1"/>
    <w:qFormat/>
    <w:uiPriority w:val="0"/>
    <w:pPr>
      <w:spacing w:after="120"/>
      <w:ind w:left="420" w:leftChars="20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8">
    <w:name w:val="Body Text First Indent 2"/>
    <w:basedOn w:val="4"/>
    <w:semiHidden/>
    <w:unhideWhenUsed/>
    <w:qFormat/>
    <w:uiPriority w:val="99"/>
    <w:pPr>
      <w:ind w:firstLine="420" w:firstLineChars="200"/>
    </w:pPr>
  </w:style>
  <w:style w:type="paragraph" w:customStyle="1" w:styleId="11">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12">
    <w:name w:val="Table Text"/>
    <w:basedOn w:val="1"/>
    <w:semiHidden/>
    <w:qFormat/>
    <w:uiPriority w:val="0"/>
    <w:rPr>
      <w:rFonts w:ascii="Arial" w:hAnsi="Arial" w:eastAsia="Arial" w:cs="Arial"/>
      <w:sz w:val="21"/>
      <w:szCs w:val="21"/>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font51"/>
    <w:basedOn w:val="10"/>
    <w:qFormat/>
    <w:uiPriority w:val="0"/>
    <w:rPr>
      <w:rFonts w:hint="eastAsia" w:ascii="宋体" w:hAnsi="宋体" w:eastAsia="宋体" w:cs="宋体"/>
      <w:color w:val="F54A45"/>
      <w:sz w:val="20"/>
      <w:szCs w:val="20"/>
      <w:u w:val="none"/>
    </w:rPr>
  </w:style>
  <w:style w:type="character" w:customStyle="1" w:styleId="15">
    <w:name w:val="font21"/>
    <w:basedOn w:val="10"/>
    <w:qFormat/>
    <w:uiPriority w:val="0"/>
    <w:rPr>
      <w:rFonts w:hint="default" w:ascii="等线" w:hAnsi="等线" w:eastAsia="等线" w:cs="等线"/>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2025-05-12T11:58:00Z</dcterms:created>
  <dc:creator>DOCTOR</dc:creator>
  <cp:lastModifiedBy>DOCTOR</cp:lastModifiedBy>
  <dcterms:modified xsi:type="dcterms:W3CDTF">2026-08-20T01:19:26Z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8923F17829784343B44F927D21602F24_12</vt:lpwstr>
  </property>
</Properties>
</file>