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="156" w:beforeLines="50" w:after="156" w:afterLines="50" w:line="572" w:lineRule="exact"/>
        <w:jc w:val="center"/>
        <w:rPr>
          <w:rFonts w:ascii="方正小标宋简体" w:hAnsi="方正小标宋简体" w:eastAsia="方正小标宋简体" w:cs="方正小标宋简体"/>
          <w:color w:val="auto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  <w:t>采购需求表（物资类）</w:t>
      </w:r>
    </w:p>
    <w:tbl>
      <w:tblPr>
        <w:tblStyle w:val="5"/>
        <w:tblW w:w="95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327"/>
        <w:gridCol w:w="761"/>
        <w:gridCol w:w="79"/>
        <w:gridCol w:w="4667"/>
        <w:gridCol w:w="98"/>
        <w:gridCol w:w="585"/>
        <w:gridCol w:w="1"/>
        <w:gridCol w:w="138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序号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性质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量化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570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技术要求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color w:val="auto"/>
                <w:sz w:val="18"/>
                <w:szCs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适用于急性或慢性肾功能不全患者的血液透析滤过治疗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color w:val="auto"/>
                <w:sz w:val="18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16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color w:val="auto"/>
                <w:sz w:val="18"/>
                <w:szCs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color w:val="auto"/>
                <w:sz w:val="18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16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提供注册证复印件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功能要求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z w:val="16"/>
                <w:szCs w:val="15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具有碳酸盐/醋酸盐/单超透析多种透析模式，适用各种配方透析液；可用碳酸盐干粉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kern w:val="0"/>
                <w:sz w:val="18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z w:val="16"/>
                <w:szCs w:val="15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肝素泵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肝素泵可设定停泵时间，显示累积量，可作大剂量追加给药。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kern w:val="0"/>
                <w:sz w:val="18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z w:val="16"/>
                <w:szCs w:val="15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操控方式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彩色液晶触摸屏≥15英寸，中文界面，可实时显示治疗过程参数和曲线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彩页或白皮书或检测报告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3.4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超滤系统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双容量平衡腔超滤控制系统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彩页或白皮书或检测报告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透析液温度控制范围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34-39℃，可实时监测及可调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3.6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清洗消毒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具备消毒清洗程序；具备化学方式消毒、短时间化学消毒、热消毒、可脱钙消毒同时完成；热化学消毒时间≤40分钟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3.7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防脱针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具备静脉通路监视器，防止静脉脱针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彩页或白皮书或检测报告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3.8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紧急按键功能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具备紧急按键，可以一键式自动停止超滤、降低血流速、自动补液并自动测量血压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彩页或白皮书或检测报告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3.9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网络接口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血透机与医院现有的血液透析信息系统连接，包括并不限于网络接口等方式，连接产生所有的费用由中标方承担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透析监测功能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配实时透析尿素氮清除率监测装置，可实时测量并图形显示清除率K值、Kt/V值和血浆钠值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彩页或白皮书或检测报告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3.11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置换液速率自动调节功能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HDF时自动设定置换液速率以匹配有效血流量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3.12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待机模式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准备结束和回血时，透析液流量为100ml/min，可预先设定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3.13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漏液监测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具备漏液传感器系统，体外循环或机器内部有泄漏时自动报警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3.14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血泵流量调节范围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有效血流量30～600ml/min，精度≤10%，血泵管径可调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3.15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肝素泵流量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≥（0.5-10）ml/h，可设关泵时间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3.16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静脉压力监测范围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≥（-100～+400）mmHg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3.17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动脉压力监测范围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≥（-300～+300）mmHg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3.18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超滤范围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≥（0～4000）ml/h连续可调，精度≤1%；可实现零超滤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3.19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跨膜压监测范围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≥（-100～+400）mmHg，有跨膜压自动跟踪报警功能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透析液流量范围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透析液流量0～1000ml/min，调整梯度100 ml/min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彩页或白皮书或检测报告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3.21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置换液流量范围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置换量为≥（0～18）升/小时；精度≤10%；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彩页或白皮书或检测报告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配置（单台/套）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主机1台、置换液泵1只、在线清除率监测模块1套、血压监测模块1套、上下水管1套.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验收标准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按照投标文件、采购合同、质量标准等，组织对医疗设备进行质量验收，出具验收报告。验收过程中对于核心参数存疑需检测的，可委托地方具有相应检测能力的机构提供技术支持，检测费用由中标供应商提供。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配套耗材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封闭耗材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</w:t>
            </w:r>
            <w:r>
              <w:rPr>
                <w:rFonts w:hint="eastAsia" w:ascii="黑体" w:hAnsi="宋体" w:eastAsia="黑体" w:cs="黑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备注：若非同品牌须提供封闭耗材（试剂）为设备生产企业指定的唯一代工品牌材料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57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▲标识的指标负偏离≥3项，报价企业技术参数分值为0分；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▲标识的指标和“无标识”指标负偏离≥6项，报价企业技术参数分值为0分。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</w:rPr>
        <w:br w:type="page"/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Lines="50" w:after="180" w:afterLines="50" w:line="572" w:lineRule="exact"/>
        <w:ind w:left="0" w:leftChars="0" w:firstLine="0" w:firstLineChars="0"/>
        <w:jc w:val="center"/>
        <w:textAlignment w:val="auto"/>
        <w:rPr>
          <w:rFonts w:ascii="黑体" w:hAnsi="黑体" w:eastAsia="黑体" w:cs="黑体"/>
          <w:i/>
          <w:iCs/>
          <w:kern w:val="0"/>
          <w:sz w:val="28"/>
          <w:szCs w:val="28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</w:rPr>
        <w:t>封闭耗材（试剂）用量测算表</w:t>
      </w:r>
    </w:p>
    <w:tbl>
      <w:tblPr>
        <w:tblStyle w:val="5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873"/>
        <w:gridCol w:w="1009"/>
        <w:gridCol w:w="1063"/>
        <w:gridCol w:w="1064"/>
        <w:gridCol w:w="1227"/>
        <w:gridCol w:w="172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项目名称</w:t>
            </w:r>
          </w:p>
        </w:tc>
        <w:tc>
          <w:tcPr>
            <w:tcW w:w="795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黑体" w:hAnsi="宋体" w:eastAsia="黑体" w:cs="黑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黑体" w:hAnsi="宋体" w:eastAsia="黑体" w:cs="黑体"/>
                <w:sz w:val="20"/>
                <w:szCs w:val="20"/>
                <w:highlight w:val="none"/>
                <w:lang w:eastAsia="zh-CN"/>
              </w:rPr>
              <w:t>血液透析滤过机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封闭耗材（试剂）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描述</w:t>
            </w:r>
          </w:p>
        </w:tc>
        <w:tc>
          <w:tcPr>
            <w:tcW w:w="7959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耗材（试剂）与设备为同一品牌</w:t>
            </w: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eastAsia="zh-CN" w:bidi="ar"/>
              </w:rPr>
              <w:t>或</w:t>
            </w: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耗材（试剂）为设备生产企业指定的唯一代工品牌。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序号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耗材（开展项目）名称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规格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预估2年用量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计量单位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最高限价（万元）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一次性血液净化用血液回路管及附件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sz w:val="18"/>
                <w:szCs w:val="18"/>
                <w:highlight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1248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9.8592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</w:tbl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楷体_GB2312" w:hAnsi="楷体" w:eastAsia="楷体_GB2312" w:cs="楷体"/>
        <w:sz w:val="21"/>
        <w:szCs w:val="21"/>
      </w:rPr>
    </w:pPr>
    <w:r>
      <w:rPr>
        <w:sz w:val="18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8467090"/>
          <wp:effectExtent l="0" t="0" r="2540" b="10160"/>
          <wp:wrapNone/>
          <wp:docPr id="14" name="WordPictureWatermark37419" descr="水印图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WordPictureWatermark37419" descr="水印图片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8467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_GB2312" w:hAnsi="楷体" w:eastAsia="楷体_GB2312" w:cs="楷体"/>
        <w:sz w:val="21"/>
        <w:szCs w:val="21"/>
      </w:rPr>
      <w:t>第</w:t>
    </w:r>
    <w:r>
      <w:rPr>
        <w:rFonts w:hint="eastAsia" w:ascii="楷体_GB2312" w:hAnsi="楷体" w:eastAsia="楷体_GB2312" w:cs="楷体"/>
        <w:sz w:val="21"/>
        <w:szCs w:val="21"/>
        <w:lang w:eastAsia="zh-CN"/>
      </w:rPr>
      <w:t>六</w:t>
    </w:r>
    <w:r>
      <w:rPr>
        <w:rFonts w:hint="eastAsia" w:ascii="楷体_GB2312" w:hAnsi="楷体" w:eastAsia="楷体_GB2312" w:cs="楷体"/>
        <w:sz w:val="21"/>
        <w:szCs w:val="21"/>
      </w:rPr>
      <w:t>章 采购项目商务和技术要求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E65DD"/>
    <w:rsid w:val="5CC9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2026-08-19T08:24:00Z</dcterms:created>
  <dc:creator>Administrator</dc:creator>
  <cp:lastModifiedBy>Yingying</cp:lastModifiedBy>
  <dcterms:modified xsi:type="dcterms:W3CDTF">2026-09-03T01:13:24Z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