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eastAsia="zh-CN"/>
        </w:rPr>
      </w:pPr>
      <w:bookmarkStart w:id="0" w:name="_Toc130888006"/>
      <w:bookmarkStart w:id="1" w:name="_Toc128470294"/>
      <w:bookmarkStart w:id="2" w:name="_Toc22977"/>
      <w:bookmarkStart w:id="3" w:name="_Toc32238"/>
      <w:bookmarkStart w:id="4" w:name="_Toc2406"/>
      <w:bookmarkStart w:id="5" w:name="_Toc112768493"/>
      <w:bookmarkStart w:id="6" w:name="_Toc13168"/>
      <w:bookmarkStart w:id="7" w:name="_Toc112681847"/>
      <w:bookmarkStart w:id="8" w:name="_Toc150421247"/>
      <w:bookmarkStart w:id="9" w:name="_Toc14060"/>
      <w:bookmarkStart w:id="10" w:name="_Toc132191258"/>
      <w:bookmarkStart w:id="11" w:name="_Toc132186974"/>
      <w:bookmarkStart w:id="12" w:name="_Toc152058290"/>
      <w:bookmarkStart w:id="13" w:name="_Toc22203"/>
      <w:bookmarkStart w:id="14" w:name="_Toc128154367"/>
      <w:r>
        <w:rPr>
          <w:rFonts w:hint="eastAsia" w:ascii="黑体" w:hAnsi="黑体" w:cs="黑体"/>
          <w:b/>
          <w:bCs/>
          <w:color w:val="auto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9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62"/>
        <w:gridCol w:w="752"/>
        <w:gridCol w:w="4737"/>
        <w:gridCol w:w="761"/>
        <w:gridCol w:w="13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bookmarkStart w:id="15" w:name="_Toc130887500"/>
            <w:bookmarkStart w:id="16" w:name="_Toc132190634"/>
            <w:bookmarkStart w:id="17" w:name="_Toc16735"/>
            <w:bookmarkStart w:id="18" w:name="_Toc150418428"/>
            <w:bookmarkStart w:id="19" w:name="_Toc128151027"/>
            <w:bookmarkStart w:id="20" w:name="_Toc128397970"/>
            <w:bookmarkStart w:id="21" w:name="_Toc127820564"/>
            <w:bookmarkStart w:id="22" w:name="_Toc128150778"/>
            <w:bookmarkStart w:id="23" w:name="_Toc128150134"/>
            <w:bookmarkStart w:id="24" w:name="_Toc152057837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需求名称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性质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需求具体内容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量化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交货时间、交货地点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服务时间三年，服务地点北京市海淀区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付款及结算方式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按实际处理危险废物量进行结算报销，每季度结算一次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报价方式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实验室试剂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15元/公斤，年产生量约1000公斤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；废液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9元/公斤，年产生量约7000公斤；试剂空瓶7.5元/公斤，年产生量约7000公斤；废药4元/公斤，年产生量约3000公斤；乙方在最高限价的基础上报出整体单价固定下浮费率值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产品包装和运输要求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按照国家、行业相关标准规范，确保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运输和处置安全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售后服务1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（质保）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因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原因，未在规定时间到达现场处理故障，每次处罚2000元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售后服务2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（质保）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乙方按甲方要求定期来院运输处置废液，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因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原因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超期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个工作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日以上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未履约，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甲方有权单方解除合同，造成损失由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乙方承担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售后服务3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（质保）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在服务过程中出现的任何质量安全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事故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问题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均由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承担，造成一切损失均由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承担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保密要求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1、在采购项目实施过程中，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对所获得的、有关需求方或属于需求方的各类资料及其他被认为是秘密的信息，未经需求方同意，不得泄露给任何第三方；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2、任何一方为本项目需要，向任何人透露有关资料或信息且认为是秘密信息，应事先予以注明；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3、上述秘密信息，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只能将该信息用于服务于本项目，而且只能由相应的工程技术人员使用；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4、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应遵循需求方各项安全保密制度和规章，所有信息数据在迁移、处理等过程中严禁私自复制、传输，完成建设任务后，档案信息数据必须物理清除；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5.在投标文件中应对该项内容提交书面承诺书，作为签定项目保密协议的依据，并作为合同密不可分的一部分。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</w:tbl>
    <w:p>
      <w:pP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br w:type="page"/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t>技术要求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Style w:val="9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62"/>
        <w:gridCol w:w="752"/>
        <w:gridCol w:w="4737"/>
        <w:gridCol w:w="761"/>
        <w:gridCol w:w="13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需求名称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性质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需求具体内容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量化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基本要求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  <w:t>某单位承担病理标本处理、实验、检验等工作，通常使用或产生含甲醛、二甲苯等、DAB(二氨基联苯胺)等物质的危险液体。按照北京市生态环境保护相关部门的法律法规要求，需有资质的危废公司集中收集处理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eastAsia="zh-CN"/>
              </w:rPr>
              <w:t>。每年预估处理量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val="en-US" w:eastAsia="zh-CN"/>
              </w:rPr>
              <w:t>18吨。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技术指标1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具备常规阶段24小时内响应服务的能力，极端天气条件下72小时内响应服务的能力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技术指标2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乙方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提供临时存放至少1个月废物的包装物、容器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，用于运输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，盛装医疗废物的每个包装物、容器外表面需有警示标识，需提供废物来源单位、日期、类别的标识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技术指标3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交接废物时，应建有登、统记册，内容包括时间、数量和废物类别，双方进行签字确认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承担废液出院后的运输、贮存及处置过程中的全部责任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7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配置名称1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（服务点位）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★</w:t>
            </w:r>
          </w:p>
        </w:tc>
        <w:tc>
          <w:tcPr>
            <w:tcW w:w="2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highlight w:val="none"/>
                <w:lang w:eastAsia="zh-CN"/>
              </w:rPr>
              <w:t>定期使用具有运输废液资质的车辆来院运输废液，院内收集时不得造成溢洒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否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highlight w:val="none"/>
                <w:lang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bookmarkStart w:id="25" w:name="_GoBack"/>
      <w:bookmarkEnd w:id="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（1）★指标为必须响应指标，任意一项不满足要求即做废标处理；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（2）《采购需求表》备注已明确证明材料种类的，以所注内容或国家行政管理部门、专业检测机构出具的证明材料为准。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（3）★标识指标及▲标识指标须提供技术支持材料，支持材料包括但不限于以下任意一种或几种：产品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（4）无标识指标正偏离需参照上述要求提供技术支持材料，未提供的正偏离不予认可。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（5）加注“★”、“▲”号的技术指标均需投标企业提供证明材料（证明材料为“企业承诺的，在技术商务指标参数响应偏离表中体现即可）。</w:t>
      </w:r>
    </w:p>
    <w:sectPr>
      <w:headerReference r:id="rId3" w:type="default"/>
      <w:footerReference r:id="rId4" w:type="default"/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27858875"/>
      </w:sdtPr>
      <w:sdtContent/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sz w:val="21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46" name="WordPictureWatermark237255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WordPictureWatermark237255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66C86"/>
    <w:multiLevelType w:val="singleLevel"/>
    <w:tmpl w:val="B3D66C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RjZTg3ZjBlNWMzYzE4YjA1Yzg1MzdmOWRhYTcifQ=="/>
  </w:docVars>
  <w:rsids>
    <w:rsidRoot w:val="00000000"/>
    <w:rsid w:val="1ECF5BC7"/>
    <w:rsid w:val="23E2050F"/>
    <w:rsid w:val="2671770B"/>
    <w:rsid w:val="2D632620"/>
    <w:rsid w:val="41FD572E"/>
    <w:rsid w:val="477511A4"/>
    <w:rsid w:val="4BF26A93"/>
    <w:rsid w:val="5255500D"/>
    <w:rsid w:val="7D0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Body Text First Indent 2"/>
    <w:basedOn w:val="4"/>
    <w:semiHidden/>
    <w:unhideWhenUsed/>
    <w:qFormat/>
    <w:uiPriority w:val="99"/>
    <w:pPr>
      <w:ind w:firstLine="420" w:firstLineChars="200"/>
    </w:p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2025-05-12T11:58:00Z</dcterms:created>
  <dc:creator>DOCTOR</dc:creator>
  <cp:lastModifiedBy>DOCTOR</cp:lastModifiedBy>
  <dcterms:modified xsi:type="dcterms:W3CDTF">2026-09-03T04:39:37Z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8923F17829784343B44F927D21602F24_12</vt:lpwstr>
  </property>
</Properties>
</file>