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150421246"/>
      <w:bookmarkStart w:id="1" w:name="_Toc112317781"/>
      <w:bookmarkStart w:id="2" w:name="_Toc21632"/>
      <w:bookmarkStart w:id="3" w:name="_Toc112768491"/>
      <w:bookmarkStart w:id="4" w:name="_Toc152058289"/>
      <w:bookmarkStart w:id="5" w:name="_Toc9692"/>
      <w:bookmarkStart w:id="6" w:name="_Toc132191257"/>
      <w:bookmarkStart w:id="7" w:name="_Toc28545"/>
      <w:bookmarkStart w:id="8" w:name="_Toc130888005"/>
      <w:bookmarkStart w:id="9" w:name="_Toc32050"/>
      <w:bookmarkStart w:id="10" w:name="_Toc30564"/>
      <w:bookmarkStart w:id="11" w:name="_Toc132186973"/>
      <w:bookmarkStart w:id="12" w:name="_Toc128154366"/>
      <w:bookmarkStart w:id="13" w:name="_Toc130661176"/>
      <w:bookmarkStart w:id="14" w:name="_Toc128470293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130888006"/>
      <w:bookmarkStart w:id="16" w:name="_Toc132191258"/>
      <w:bookmarkStart w:id="17" w:name="_Toc128470294"/>
      <w:bookmarkStart w:id="18" w:name="_Toc128154367"/>
      <w:bookmarkStart w:id="19" w:name="_Toc32238"/>
      <w:bookmarkStart w:id="20" w:name="_Toc132186974"/>
      <w:bookmarkStart w:id="21" w:name="_Toc14060"/>
      <w:bookmarkStart w:id="22" w:name="_Toc22203"/>
      <w:bookmarkStart w:id="23" w:name="_Toc13168"/>
      <w:bookmarkStart w:id="24" w:name="_Toc150421247"/>
      <w:bookmarkStart w:id="25" w:name="_Toc22977"/>
      <w:bookmarkStart w:id="26" w:name="_Toc152058290"/>
      <w:bookmarkStart w:id="27" w:name="_Toc112768493"/>
      <w:bookmarkStart w:id="28" w:name="_Toc112681847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8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63"/>
        <w:gridCol w:w="676"/>
        <w:gridCol w:w="120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需求名称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参数性质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需求具体内容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是否量化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交货时间、交货地点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合同签订后1个月内交付，交付地点由甲方指定。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付款及结算方式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履约保证金和质量保证金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无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产品包装和运输要求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提供免费保修服务不少于3年，全年故障停机时间不高于5%（按365日/年计算)。故障停机每超出1天，按两倍时间延保。中标后签合同时提供原厂售后服务承诺。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原厂授权或企业承诺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（质保）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提供不少于2人次、1天的工程师维修培训。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售后服务4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（响应时间）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维修响应时间≤1小时，维修到达现场时间≤4小时。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备品备件要求（零配件）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由供应商承诺设备零配件供应≥8 年。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保密要求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投标供应商应当保证采购单位在使用该物资或其任何一部分时，不受第三方侵权指控。同时，投标供应商不得向第三方泄露采购机构提供的技术文件等材料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物资编目编码、打码贴签要求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bookmarkEnd w:id="29"/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0" w:firstLineChars="0"/>
        <w:jc w:val="left"/>
        <w:rPr>
          <w:rFonts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  <w:lang w:eastAsia="zh-CN"/>
        </w:rPr>
        <w:t>二</w:t>
      </w:r>
      <w:r>
        <w:rPr>
          <w:rFonts w:hint="eastAsia" w:ascii="黑体" w:hAnsi="黑体" w:cs="黑体"/>
          <w:b w:val="0"/>
          <w:sz w:val="28"/>
          <w:szCs w:val="28"/>
        </w:rPr>
        <w:t>、</w:t>
      </w:r>
      <w:r>
        <w:rPr>
          <w:rFonts w:hint="eastAsia" w:ascii="黑体" w:hAnsi="黑体" w:cs="黑体"/>
          <w:b w:val="0"/>
          <w:sz w:val="28"/>
          <w:szCs w:val="28"/>
          <w:lang w:eastAsia="zh-CN"/>
        </w:rPr>
        <w:t>技术</w:t>
      </w:r>
      <w:r>
        <w:rPr>
          <w:rFonts w:hint="eastAsia" w:ascii="黑体" w:hAnsi="黑体" w:cs="黑体"/>
          <w:b w:val="0"/>
          <w:sz w:val="28"/>
          <w:szCs w:val="28"/>
        </w:rPr>
        <w:t>要求</w:t>
      </w:r>
    </w:p>
    <w:tbl>
      <w:tblPr>
        <w:tblStyle w:val="8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00"/>
        <w:gridCol w:w="668"/>
        <w:gridCol w:w="4378"/>
        <w:gridCol w:w="661"/>
        <w:gridCol w:w="120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基本要求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用于耳蜗毛细胞的客观功能测试。具备筛查DPOAE畸变产物耳声发射、TEOAE瞬态声诱发耳声发射、诊断DPOAE畸变产物耳声发射、诊断TEOAE瞬态声诱发耳声发射、加压OAE等；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标准规范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具备NMPA认证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注册证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技术指标1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TEOAE瞬态诱发性耳声发射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刺激声强度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≥85 dB peSPL（TEOAE快速）；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≥60至85 dB peSPL（TEOAE 诊断）；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刺激声步距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≤5 dB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刺激声类型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短时程信号≥（0.7-6 ）kHz；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TEOAE 诊断：+ 100 μs 矩形短声；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刺激协议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非线性；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可选测试时间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自适应自动终止，支持手动设定测试时长。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技术指标2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DPOAE畸变产物耳声发射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测试项目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DPOAE 筛查，DPOAE 诊断，DPOAE 阈值；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刺激声类型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纯音和 FM 调频音；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测试频率范围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≥1K至10kHz；测试频率精度：10 Hz 或 1至30 点/倍频程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刺激强度范围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15至65 dB SPL；L2 刺激强度步距：≤5 dB；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DPOAE 诊断测试时间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DPOAE 诊断测试时间：自适应时间停止、手动设置最小/最大时间停止（2至120 s）；可手动复测特定频点；可自动复测未通过频点；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残余噪声计算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加权叠加，综合叠加因素。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主机采样率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≥48 kHz（刺激声），≥16 kHz（响应）；测试间隔：≥4096采样速率。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主机分析时窗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刺激后 ≥5至13 ms。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双耳可同时测试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具备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测试频率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多频同时测试，可选测试频率，重复校准的最大次数。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校准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耳道容积校准的耳内校准。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其他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具备彩色触屏和电脑软件双模式操作，各模块自定义测试序列≥5；主机可存≥1000个测试结件，软件兼容NOAH 软件，主机具备探头校准功能。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产品彩页或技术白皮书或产品说明书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联网要求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与医院HIS系统无缝连接；接口费包含在投标报价中。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配置要求1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主机1台、探头1副、耳塞1盒、中文说明书1份、信息处理系统含打印输出设备1套等。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配置要求2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中英文操作软件1套、校准软件1套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配套耗材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（试剂）要求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无封闭耗材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验收标准方法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lang w:eastAsia="zh-CN"/>
        </w:rPr>
        <w:t>说明：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（1）★指标为必须响应指标，任意一项不满足要求即做废标处理；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2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（3）《采购需求表》备注已明确证明材料种类的，以所注内容为准（或国家行政管理部门、专业检测机构出具的证明材料）；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（4）无标识指标正偏离需参照上述要求提供技术支持材料，未提供的正偏离不予认可。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lang w:val="en-US" w:eastAsia="zh-CN"/>
        </w:rPr>
        <w:t>（5）加注“★”、“▲”号的技术指标均需投标企业提供证明材料（证明材料为“企业承诺”的，在技术或商务指标参数响应偏离表中体现即可）。</w:t>
      </w:r>
      <w:bookmarkStart w:id="30" w:name="_GoBack"/>
      <w:bookmarkEnd w:id="30"/>
    </w:p>
    <w:sectPr>
      <w:pgSz w:w="11906" w:h="16838"/>
      <w:pgMar w:top="1417" w:right="1134" w:bottom="141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0E7BB8"/>
    <w:rsid w:val="134E6894"/>
    <w:rsid w:val="33E46D91"/>
    <w:rsid w:val="436A0764"/>
    <w:rsid w:val="4DFD47B5"/>
    <w:rsid w:val="66FD3317"/>
    <w:rsid w:val="684B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Body Text"/>
    <w:basedOn w:val="1"/>
    <w:next w:val="1"/>
    <w:qFormat/>
    <w:uiPriority w:val="99"/>
    <w:pPr>
      <w:spacing w:after="12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2026-06-29T00:12:00Z</dcterms:created>
  <dc:creator>Lenovo</dc:creator>
  <cp:lastModifiedBy>Lenovo</cp:lastModifiedBy>
  <dcterms:modified xsi:type="dcterms:W3CDTF">2026-09-07T01:00:44Z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