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8"/>
          <w:szCs w:val="28"/>
          <w:highlight w:val="none"/>
          <w:lang w:eastAsia="zh-CN"/>
        </w:rPr>
      </w:pPr>
      <w:bookmarkStart w:id="0" w:name="_Toc132191258"/>
      <w:bookmarkStart w:id="1" w:name="_Toc112681847"/>
      <w:bookmarkStart w:id="2" w:name="_Toc13168"/>
      <w:bookmarkStart w:id="3" w:name="_Toc14060"/>
      <w:bookmarkStart w:id="4" w:name="_Toc128154367"/>
      <w:bookmarkStart w:id="5" w:name="_Toc152058290"/>
      <w:bookmarkStart w:id="6" w:name="_Toc112768493"/>
      <w:bookmarkStart w:id="7" w:name="_Toc150421247"/>
      <w:bookmarkStart w:id="8" w:name="_Toc22203"/>
      <w:bookmarkStart w:id="9" w:name="_Toc132186974"/>
      <w:bookmarkStart w:id="10" w:name="_Toc2406"/>
      <w:bookmarkStart w:id="11" w:name="_Toc130888006"/>
      <w:bookmarkStart w:id="12" w:name="_Toc32238"/>
      <w:bookmarkStart w:id="13" w:name="_Toc128470294"/>
      <w:bookmarkStart w:id="14" w:name="_Toc22977"/>
      <w:r>
        <w:rPr>
          <w:rFonts w:hint="eastAsia" w:ascii="黑体" w:hAnsi="黑体" w:cs="黑体"/>
          <w:b/>
          <w:bCs/>
          <w:color w:val="auto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0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389"/>
        <w:gridCol w:w="759"/>
        <w:gridCol w:w="4742"/>
        <w:gridCol w:w="765"/>
        <w:gridCol w:w="13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bookmarkStart w:id="15" w:name="_Toc130887500"/>
            <w:bookmarkStart w:id="16" w:name="_Toc132190634"/>
            <w:bookmarkStart w:id="17" w:name="_Toc16735"/>
            <w:bookmarkStart w:id="18" w:name="_Toc150418428"/>
            <w:bookmarkStart w:id="19" w:name="_Toc128151027"/>
            <w:bookmarkStart w:id="20" w:name="_Toc128397970"/>
            <w:bookmarkStart w:id="21" w:name="_Toc127820564"/>
            <w:bookmarkStart w:id="22" w:name="_Toc128150778"/>
            <w:bookmarkStart w:id="23" w:name="_Toc128150134"/>
            <w:bookmarkStart w:id="24" w:name="_Toc152057837"/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需求名称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性质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需求具体内容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量化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 w:bidi="ar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交货时间、交货地点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服务期限1年，甲方根据自身需求以电话、传真、电子邮件、网络平台等方式向供货方发送订单通知，双方确认后供货，交付地点为北京市海淀区或东城区，具体地点由甲方指定。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付款及结算方式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先货后款，按季度结算，与供货方核实供货品种及数量后，根据甲方结款周期凭销售合同和发票进行结算，如遇甲方封账等不可抗力因素，乙方可接受延时付款。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产品包装和运输要求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供货方负责运输、卸货并码放至库房指定货位。供货方可根据不同产品自行配备相应外包装，但必须保证满足货品清洁度及运输安全要求。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售后服务1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将外包装材料在指定日期和时间送至甲方指定地点，并承担物流相关费用。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售后服务2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对存在质量问题的外包装材料进行及时免费更换，并承担物流相关费用。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报价方式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报价供应商在甲方《制剂生产外包装材料需求目录》产品最高限价的基础上，报出整体单价固定下浮费率。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企业承诺</w:t>
            </w:r>
          </w:p>
        </w:tc>
      </w:tr>
    </w:tbl>
    <w:p>
      <w:pP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br w:type="page"/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auto"/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黑体" w:hAnsi="黑体" w:eastAsia="宋体" w:cs="黑体"/>
          <w:b/>
          <w:bCs/>
          <w:color w:val="auto"/>
          <w:sz w:val="28"/>
          <w:szCs w:val="28"/>
          <w:lang w:eastAsia="zh-CN"/>
        </w:rPr>
        <w:t>技术要求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Style w:val="10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389"/>
        <w:gridCol w:w="759"/>
        <w:gridCol w:w="4742"/>
        <w:gridCol w:w="765"/>
        <w:gridCol w:w="13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需求名称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性质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需求具体内容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量化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基本要求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符合制剂生产用外包装材料要求，为制剂生产供应工作提供保障。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基本要求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产品应符合类别项下的规定要求，符合现行版有效国家标准、行业标准或企业标准。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技术指标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制剂生产外包装材料具体参数详见《制剂生产外包装材料需求目录》。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配置要求1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甲方提供外包装材料的基础信息及设计图案，供应商按照甲方的要求调整印刷产品，直至甲方满意为止。因政策裱花和批准文号、生产单位、配制地点改变等原因需调整印刷品版式，甲方提前3个月告知。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配置要求2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制剂用外包装材料单价固定，合同期内不得涨价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配置要求3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2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根据往年外包装材料使用情况预估，最终以实际发生数量为准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  <w:lang w:bidi="ar"/>
              </w:rPr>
              <w:t>否</w:t>
            </w:r>
          </w:p>
        </w:tc>
        <w:tc>
          <w:tcPr>
            <w:tcW w:w="6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</w:tbl>
    <w:p>
      <w:pPr>
        <w:pStyle w:val="5"/>
        <w:spacing w:before="289" w:beforeLines="50" w:after="289" w:afterLines="50" w:line="572" w:lineRule="exact"/>
        <w:ind w:firstLine="0" w:firstLineChars="0"/>
        <w:jc w:val="center"/>
        <w:rPr>
          <w:rFonts w:ascii="方正小标宋简体" w:hAnsi="宋体" w:eastAsia="方正小标宋简体" w:cs="宋体"/>
          <w:kern w:val="0"/>
          <w:sz w:val="24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8"/>
          <w:szCs w:val="28"/>
          <w:lang w:val="en-US" w:eastAsia="zh-CN" w:bidi="ar-SA"/>
        </w:rPr>
        <w:t>制剂生产外包装材料需求目录</w:t>
      </w:r>
    </w:p>
    <w:tbl>
      <w:tblPr>
        <w:tblStyle w:val="10"/>
        <w:tblW w:w="96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432"/>
        <w:gridCol w:w="2059"/>
        <w:gridCol w:w="1241"/>
        <w:gridCol w:w="1159"/>
        <w:gridCol w:w="1118"/>
        <w:gridCol w:w="723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tblHeader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规格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品名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预估年使用量（个）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最高限价（元）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金额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是否量化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2221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一、圆形标签</w:t>
            </w:r>
          </w:p>
        </w:tc>
        <w:tc>
          <w:tcPr>
            <w:tcW w:w="7448" w:type="dxa"/>
            <w:gridSpan w:val="6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材料：80g铜板专业不干胶层面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鞣酸软膏标签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16000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0.069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1104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氧化锌软膏标签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13000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0.072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936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复方连翘膏标签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0.233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699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硫软膏标签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3500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0.227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794.5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复方苯甲酸软膏标签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0.149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1341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制霉菌素软膏标签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0.333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333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薄荷苯酚软膏（止痒软膏）标签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19000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0.067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1273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尿素软膏标签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46000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0.061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2806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22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iCs/>
                <w:kern w:val="0"/>
                <w:sz w:val="21"/>
                <w:szCs w:val="21"/>
              </w:rPr>
              <w:t>长方形</w:t>
            </w: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标签</w:t>
            </w:r>
          </w:p>
        </w:tc>
        <w:tc>
          <w:tcPr>
            <w:tcW w:w="744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材料：80g铜板专业不干胶层面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17×22mm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封口签（感冒清热颗粒、复方竹叶石膏颗粒、复方芪蓉颗粒）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144000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0.043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6192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27×42.5mm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补骨脂酊标签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0.250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250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27×42.5mm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复方苯甲酸搽剂标签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14000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0.064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896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36×52mm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甘油止痒涂剂标签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25000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0.059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1475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36×52mm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含酚炉甘石涂剂标签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6000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0.110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660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36×52mm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硼酸甘油涂剂标签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18000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0.068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1224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60×28mm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硼酸甘油滴耳液标签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15000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0.070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1050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70×19mm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蜂地麻涂剂标签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5000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0.127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635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70×27mm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1%苯酚甘油滴耳液标签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500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0.533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266.5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70×27mm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2%苯酚甘油滴耳液标签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520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0.527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274.04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70×27mm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2.5%氯霉素滴耳液标签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500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0.533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266.5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70×27mm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碳酸氢钠滴耳液标签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7000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0.105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735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76×19mm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复方鱼肝油滴鼻液标签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150000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0.067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10050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78×42mm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2%碘酊标签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600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0.473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283.8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23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78×42mm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2.5%碘酊标签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2100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0.223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468.3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78×42mm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空白签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200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0.567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113.4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80×22mm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碘甘油标签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0.100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900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154×42mm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保元丹标签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0.217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868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2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iCs/>
                <w:kern w:val="0"/>
                <w:sz w:val="21"/>
                <w:szCs w:val="21"/>
              </w:rPr>
              <w:t>长方形卷轴</w:t>
            </w: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标签</w:t>
            </w:r>
          </w:p>
        </w:tc>
        <w:tc>
          <w:tcPr>
            <w:tcW w:w="744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材料：80g铜板专业不干胶层面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27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45×50mm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氯化铵甘草口服溶液标签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1000000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0.042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42000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28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45×50mm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枸橼酸钾口服溶液标签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0.042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16800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29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45×50mm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儿童开胃乐口服液标签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60000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0.049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2940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45×50mm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保元抗癌口服液标签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60000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0.049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2940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2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四、</w:t>
            </w:r>
            <w:r>
              <w:rPr>
                <w:rFonts w:hint="eastAsia" w:ascii="宋体" w:hAnsi="宋体" w:eastAsia="宋体" w:cs="宋体"/>
                <w:b/>
                <w:bCs/>
                <w:iCs/>
                <w:kern w:val="0"/>
                <w:sz w:val="21"/>
                <w:szCs w:val="21"/>
              </w:rPr>
              <w:t>说明书</w:t>
            </w:r>
          </w:p>
        </w:tc>
        <w:tc>
          <w:tcPr>
            <w:tcW w:w="744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材料：</w:t>
            </w:r>
            <w:r>
              <w:rPr>
                <w:rFonts w:hint="eastAsia" w:ascii="宋体" w:hAnsi="宋体" w:eastAsia="宋体" w:cs="宋体"/>
                <w:b/>
                <w:bCs/>
                <w:iCs/>
                <w:kern w:val="0"/>
                <w:sz w:val="21"/>
                <w:szCs w:val="21"/>
              </w:rPr>
              <w:t>重量每平米≥70克胶板纸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31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90×130mm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氯化铵甘草口服溶液说明书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100000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0.057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5700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32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90×130mm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枸橼酸钾口服溶液说明书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0.053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2120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33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90×130mm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感冒清热颗粒说明书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0.053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2120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34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90×130mm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复方竹叶石膏颗粒说明书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0.101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303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35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90×130mm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复方芪蓉颗粒说明书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0.101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303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36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90×130mm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蜂地麻涂剂说明书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5000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0.083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415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37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90×130mm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儿童开胃乐口服液说明书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6000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0.079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474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38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90×130mm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保元抗癌口服液说明书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6000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0.079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474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39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90×130mm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保元丹说明书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0.098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392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90×130mm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利咽含片说明书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0.101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303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22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五、</w:t>
            </w:r>
            <w:r>
              <w:rPr>
                <w:rFonts w:hint="eastAsia" w:ascii="宋体" w:hAnsi="宋体" w:eastAsia="宋体" w:cs="宋体"/>
                <w:b/>
                <w:bCs/>
                <w:iCs/>
                <w:kern w:val="0"/>
                <w:sz w:val="21"/>
                <w:szCs w:val="21"/>
              </w:rPr>
              <w:t>外包装纸盒</w:t>
            </w:r>
          </w:p>
        </w:tc>
        <w:tc>
          <w:tcPr>
            <w:tcW w:w="744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Cs/>
                <w:sz w:val="21"/>
                <w:szCs w:val="21"/>
              </w:rPr>
              <w:t>材料：</w:t>
            </w:r>
            <w:r>
              <w:rPr>
                <w:rFonts w:hint="eastAsia" w:ascii="宋体" w:hAnsi="宋体" w:eastAsia="宋体" w:cs="宋体"/>
                <w:b/>
                <w:bCs/>
                <w:iCs/>
                <w:kern w:val="0"/>
                <w:sz w:val="21"/>
                <w:szCs w:val="21"/>
              </w:rPr>
              <w:t>重量每平米≥300克食品白卡纸，厚度约0.4mm；需烫金、UV、起鼓及覆亚膜工艺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41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29×29×64mm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蜂地麻涂剂药盒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5000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0.913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4565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42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82×50×120mm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保元丹单瓶包装盒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1.167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4668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43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100×40×152.5mm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感冒清热颗粒药盒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0.923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36920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44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126×81×27mm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利咽含片药盒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1.367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4101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45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150×85×45mm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复方竹叶石膏颗粒药盒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1.367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4101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46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150×90×34mm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复方芪蓉颗粒药盒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3000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1.367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4101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47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158×90×40mm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氯化铵甘草口服溶液药盒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100000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0.923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92300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48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158×90×40mm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枸橼酸钾口服溶液药盒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40000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0.923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36920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49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158×90×40mm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儿童开胃乐口服液药盒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6000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1.050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6300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7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158×90×40mm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保元抗癌口服液药盒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6000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1.050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6300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kern w:val="0"/>
                <w:sz w:val="21"/>
                <w:szCs w:val="21"/>
              </w:rPr>
              <w:t>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bookmarkStart w:id="25" w:name="_GoBack"/>
      <w:bookmarkEnd w:id="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说明：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（1）★指标为必须响应指标，任意一项不满足要求即做废标处理；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（2）《采购需求表》备注已明确证明材料种类的，以所注内容或国家行政管理部门、专业检测机构出具的证明材料为准。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（3）★标识指标及▲标识指标须提供技术支持材料，支持材料包括但不限于以下任意一种或几种：产品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（4）无标识指标正偏离需参照上述要求提供技术支持材料，未提供的正偏离不予认可。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jc w:val="both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/>
        </w:rPr>
        <w:t>（5）加注“★”、“▲”号的技术指标均需投标企业提供证明材料（证明材料为“企业承诺的，在技术商务指标参数响应偏离表中体现即可）。</w:t>
      </w:r>
    </w:p>
    <w:sectPr>
      <w:headerReference r:id="rId3" w:type="default"/>
      <w:footerReference r:id="rId4" w:type="default"/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827858875"/>
      </w:sdtPr>
      <w:sdtContent/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sz w:val="21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38470" cy="8891270"/>
          <wp:effectExtent l="0" t="0" r="5080" b="5080"/>
          <wp:wrapNone/>
          <wp:docPr id="46" name="WordPictureWatermark237255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WordPictureWatermark237255" descr="水印图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8470" cy="8891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66C86"/>
    <w:multiLevelType w:val="singleLevel"/>
    <w:tmpl w:val="B3D66C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WRjZTg3ZjBlNWMzYzE4YjA1Yzg1MzdmOWRhYTcifQ=="/>
  </w:docVars>
  <w:rsids>
    <w:rsidRoot w:val="00000000"/>
    <w:rsid w:val="1ECF5BC7"/>
    <w:rsid w:val="23E2050F"/>
    <w:rsid w:val="2671770B"/>
    <w:rsid w:val="41FD572E"/>
    <w:rsid w:val="477511A4"/>
    <w:rsid w:val="4BF26A93"/>
    <w:rsid w:val="4C670460"/>
    <w:rsid w:val="5255500D"/>
    <w:rsid w:val="7D0B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5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2025-05-12T11:58:00Z</dcterms:created>
  <dc:creator>DOCTOR</dc:creator>
  <cp:lastModifiedBy>DOCTOR</cp:lastModifiedBy>
  <dcterms:modified xsi:type="dcterms:W3CDTF">2026-09-07T11:34:46Z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8923F17829784343B44F927D21602F24_12</vt:lpwstr>
  </property>
</Properties>
</file>