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szCs w:val="44"/>
          <w:lang w:val="zh-CN"/>
        </w:rPr>
      </w:pPr>
      <w:bookmarkStart w:id="0" w:name="_Toc28545"/>
      <w:bookmarkStart w:id="1" w:name="_Toc30564"/>
      <w:bookmarkStart w:id="2" w:name="_Toc21632"/>
      <w:bookmarkStart w:id="3" w:name="_Toc132186973"/>
      <w:bookmarkStart w:id="4" w:name="_Toc9692"/>
      <w:bookmarkStart w:id="5" w:name="_Toc130661176"/>
      <w:bookmarkStart w:id="6" w:name="_Toc152058289"/>
      <w:bookmarkStart w:id="7" w:name="_Toc128154366"/>
      <w:bookmarkStart w:id="8" w:name="_Toc130888005"/>
      <w:bookmarkStart w:id="9" w:name="_Toc132191257"/>
      <w:bookmarkStart w:id="10" w:name="_Toc112768491"/>
      <w:bookmarkStart w:id="11" w:name="_Toc150421246"/>
      <w:bookmarkStart w:id="12" w:name="_Toc112317781"/>
      <w:bookmarkStart w:id="13" w:name="_Toc32050"/>
      <w:bookmarkStart w:id="14" w:name="_Toc128470293"/>
      <w:r>
        <w:rPr>
          <w:rFonts w:hint="eastAsia"/>
          <w:b w:val="0"/>
          <w:szCs w:val="44"/>
          <w:lang w:val="zh-CN"/>
        </w:rPr>
        <w:t>第六章</w:t>
      </w:r>
      <w:r>
        <w:rPr>
          <w:b w:val="0"/>
          <w:szCs w:val="44"/>
          <w:lang w:val="zh-CN"/>
        </w:rPr>
        <w:t xml:space="preserve"> </w:t>
      </w:r>
      <w:r>
        <w:rPr>
          <w:rFonts w:hint="eastAsia"/>
          <w:b w:val="0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15" w:name="_Toc128154367"/>
      <w:bookmarkStart w:id="16" w:name="_Toc132191258"/>
      <w:bookmarkStart w:id="17" w:name="_Toc130888006"/>
      <w:bookmarkStart w:id="18" w:name="_Toc22203"/>
      <w:bookmarkStart w:id="19" w:name="_Toc152058290"/>
      <w:bookmarkStart w:id="20" w:name="_Toc112768493"/>
      <w:bookmarkStart w:id="21" w:name="_Toc32238"/>
      <w:bookmarkStart w:id="22" w:name="_Toc132186974"/>
      <w:bookmarkStart w:id="23" w:name="_Toc13168"/>
      <w:bookmarkStart w:id="24" w:name="_Toc150421247"/>
      <w:bookmarkStart w:id="25" w:name="_Toc112681847"/>
      <w:bookmarkStart w:id="26" w:name="_Toc128470294"/>
      <w:bookmarkStart w:id="27" w:name="_Toc22977"/>
      <w:bookmarkStart w:id="28" w:name="_Toc14060"/>
      <w:bookmarkStart w:id="29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Style w:val="6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389"/>
        <w:gridCol w:w="720"/>
        <w:gridCol w:w="4493"/>
        <w:gridCol w:w="727"/>
        <w:gridCol w:w="12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交货时间、交货地点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合同签订后1个月内交付，交付地点由甲方指定。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付款及结算方式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签订合同付（预付）0%，物资到货（服务完成）验收后付95%。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履约保证金/质量保证金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验收合格后满1年无质量问题支付剩余5%（不超过5%）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产品包装和运输要求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按照国家、行业相关标准规范，产品确保包装完好，运输确保不对产品造成损伤。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售后服务1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保修年限不低于3年，全年故障停机时间不高于5%（按365日/年计算)。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原厂授权（企业承诺）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售后服务2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保修期内免费提供定期维护保养服务，免费升级和维护软件，免费提供使用培训。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售后服务3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提供不少于3人次、1天的工程师维修培训。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售后服务4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（响应时间）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维修响应时间≤4小时，维修到达现场时间12小时内。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备品备件要求（零配件）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由供应商承诺项目使用寿命周期内保证零配件供应。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专用工具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描述应提供的配套专修工具和使用工具。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highlight w:val="yellow"/>
              </w:rPr>
              <w:t>企业承诺</w:t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highlight w:val="yellow"/>
                <w:lang w:eastAsia="zh-CN"/>
              </w:rPr>
              <w:t>并附《专修工具》、《使用工具》清单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知识产权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物资编目编码、打码贴签要求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bookmarkEnd w:id="29"/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0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cs="Times New Roman"/>
          <w:bCs/>
          <w:kern w:val="0"/>
          <w:sz w:val="28"/>
          <w:szCs w:val="28"/>
          <w:lang w:val="en-US" w:eastAsia="zh-CN" w:bidi="ar-SA"/>
        </w:rPr>
      </w:pPr>
      <w:bookmarkStart w:id="30" w:name="_Toc152057837"/>
      <w:bookmarkStart w:id="31" w:name="_Toc132190634"/>
      <w:bookmarkStart w:id="32" w:name="_Toc128151027"/>
      <w:bookmarkStart w:id="33" w:name="_Toc127820564"/>
      <w:bookmarkStart w:id="34" w:name="_Toc128150778"/>
      <w:bookmarkStart w:id="35" w:name="_Toc128397970"/>
      <w:bookmarkStart w:id="36" w:name="_Toc150418428"/>
      <w:bookmarkStart w:id="37" w:name="_Toc128150134"/>
      <w:bookmarkStart w:id="38" w:name="_Toc13088750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fill="FFFF0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cs="Times New Roman"/>
          <w:bCs/>
          <w:kern w:val="0"/>
          <w:sz w:val="28"/>
          <w:szCs w:val="28"/>
          <w:lang w:val="en-US" w:eastAsia="zh-CN" w:bidi="ar-SA"/>
        </w:rPr>
        <w:t>注：（1）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证明材料为“企业承诺”的，</w:t>
      </w:r>
      <w:r>
        <w:rPr>
          <w:rFonts w:hint="eastAsia" w:cs="Times New Roman"/>
          <w:bCs/>
          <w:kern w:val="0"/>
          <w:sz w:val="28"/>
          <w:szCs w:val="28"/>
          <w:lang w:val="en-US" w:eastAsia="zh-CN" w:bidi="ar-SA"/>
        </w:rPr>
        <w:t>报价供应商在《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商务指标参数响应偏离表</w:t>
      </w:r>
      <w:r>
        <w:rPr>
          <w:rFonts w:hint="eastAsia" w:cs="Times New Roman"/>
          <w:bCs/>
          <w:kern w:val="0"/>
          <w:sz w:val="28"/>
          <w:szCs w:val="28"/>
          <w:lang w:val="en-US" w:eastAsia="zh-CN" w:bidi="ar-SA"/>
        </w:rPr>
        <w:t>》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中</w:t>
      </w:r>
      <w:r>
        <w:rPr>
          <w:rFonts w:hint="eastAsia" w:cs="Times New Roman"/>
          <w:bCs/>
          <w:kern w:val="0"/>
          <w:sz w:val="28"/>
          <w:szCs w:val="28"/>
          <w:lang w:val="en-US" w:eastAsia="zh-CN" w:bidi="ar-SA"/>
        </w:rPr>
        <w:t>响应或企业另附承诺均可，企业承诺不设格式要求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  <w:t>“备品备件要求（零配件）”响应内容可注明具体寿命周期或按照要求响应。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default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  <w:t>“专用工具：描述应提供的配套专修工具和使用工具。”</w:t>
      </w:r>
      <w:r>
        <w:rPr>
          <w:rFonts w:hint="eastAsia" w:cs="Times New Roman"/>
          <w:bCs/>
          <w:kern w:val="0"/>
          <w:sz w:val="28"/>
          <w:szCs w:val="28"/>
          <w:highlight w:val="yellow"/>
          <w:lang w:val="en-US" w:eastAsia="zh-CN" w:bidi="ar-SA"/>
        </w:rPr>
        <w:t>要求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  <w:t>企业承诺并附《专修工具》、《使用工具》清单</w:t>
      </w:r>
      <w:r>
        <w:rPr>
          <w:rFonts w:hint="eastAsia" w:cs="Times New Roman"/>
          <w:bCs/>
          <w:kern w:val="0"/>
          <w:sz w:val="28"/>
          <w:szCs w:val="28"/>
          <w:highlight w:val="yellow"/>
          <w:lang w:val="en-US" w:eastAsia="zh-CN" w:bidi="ar-SA"/>
        </w:rPr>
        <w:t>。（清单格式可自拟）</w:t>
      </w:r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r>
        <w:rPr>
          <w:rFonts w:hint="eastAsia" w:ascii="黑体" w:hAnsi="黑体" w:cs="黑体"/>
          <w:b w:val="0"/>
          <w:sz w:val="28"/>
          <w:szCs w:val="28"/>
        </w:rPr>
        <w:t>二、技术要求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tbl>
      <w:tblPr>
        <w:tblStyle w:val="6"/>
        <w:tblW w:w="9800" w:type="dxa"/>
        <w:tblInd w:w="-3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389"/>
        <w:gridCol w:w="720"/>
        <w:gridCol w:w="75"/>
        <w:gridCol w:w="1958"/>
        <w:gridCol w:w="1915"/>
        <w:gridCol w:w="1014"/>
        <w:gridCol w:w="571"/>
        <w:gridCol w:w="13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29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项目名称</w:t>
            </w: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：</w:t>
            </w:r>
            <w:r>
              <w:rPr>
                <w:rFonts w:hint="eastAsia" w:ascii="黑体" w:hAnsi="宋体" w:eastAsia="黑体" w:cs="黑体"/>
                <w:sz w:val="20"/>
              </w:rPr>
              <w:t>8通道便捷式fNIRS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采购数量：1套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eastAsia="zh-CN"/>
              </w:rPr>
              <w:t>项目编号：2026-JQ06-W3236</w:t>
            </w:r>
          </w:p>
        </w:tc>
        <w:tc>
          <w:tcPr>
            <w:tcW w:w="2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最高限价（万元）</w:t>
            </w: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：</w:t>
            </w:r>
            <w:r>
              <w:rPr>
                <w:rFonts w:hint="eastAsia" w:ascii="黑体" w:hAnsi="宋体" w:eastAsia="黑体" w:cs="黑体"/>
                <w:sz w:val="20"/>
              </w:rPr>
              <w:t>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80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基本要求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通过检测照射在生理机体表面的近红外光的吸收量变化，对大脑皮层表面区域血液的氧合血红蛋白、脱氧血红蛋白的浓度变化进行多点测量，获得脑血氧浓度变化曲线。在医疗机构中由专业医护人员使用。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《产品彩页》或《技术白皮书》或《医疗器械注册证》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技术指标1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光源和探测器均为双头探头，可快速拨开头发；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发射器和接收器等核心组件8个通道为一个单独模块，仅需增加相应的板卡即可。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《产品彩页》或《技术白皮书》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3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技术指标2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▲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产品符合《GB 9706.1-2020 医用电气设备 第1部分:基本安全和基本性能的通用要求》、《YY 9706.102-2021 医用电气设备 第1-2部分:基本安全性能的通用要求并列标准：电磁兼容 要求和试验》医疗器械产品技术要求，编制也应符合国家相关法律法规（提供证明材料）。符合生物安全相容性：探头和头帽与人体头部直接接触，需提供医疗器械检验机构出具的、并在药监局备案的技术要求或国内具备CMA或CNAS认证资质的第三方机构出具的生物安全相容性报告（提供证明材料）。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《技术白皮书》或《</w:t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生物安全相容性报告</w:t>
            </w: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技术指标3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▲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光源类型：激光光源，光源安全等级：激光光源安全认证（Class I）；≥8发射探头，双波长。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采集方式：分时采集，光源发射分时进行；支持自由配置探头布局，需标配3cm固定套件和专用弹簧固定装置，</w:t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弹簧压紧为一体式结构设计。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《产品彩页》或《技术白皮书》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技术指标4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▲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ascii="黑体" w:hAnsi="宋体" w:eastAsia="黑体" w:cs="黑体"/>
                <w:i/>
                <w:iCs/>
                <w:sz w:val="20"/>
              </w:rPr>
              <w:t>支持同品牌或同一制造商的TMS、EEG、tDCS/TES等多模态联用</w:t>
            </w: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，</w:t>
            </w:r>
            <w:r>
              <w:rPr>
                <w:rFonts w:ascii="黑体" w:hAnsi="宋体" w:eastAsia="黑体" w:cs="黑体"/>
                <w:i/>
                <w:iCs/>
                <w:sz w:val="20"/>
              </w:rPr>
              <w:t>与整机同品牌采集软件</w:t>
            </w: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可</w:t>
            </w:r>
            <w:r>
              <w:rPr>
                <w:rFonts w:ascii="黑体" w:hAnsi="宋体" w:eastAsia="黑体" w:cs="黑体"/>
                <w:i/>
                <w:iCs/>
                <w:sz w:val="20"/>
              </w:rPr>
              <w:t>支持层叠曲线、散布曲线、拓扑二维图像和拓扑三维MRI图像融合显示等多种信号显示方式，显示方式直观灵活，</w:t>
            </w: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可</w:t>
            </w:r>
            <w:r>
              <w:rPr>
                <w:rFonts w:ascii="黑体" w:hAnsi="宋体" w:eastAsia="黑体" w:cs="黑体"/>
                <w:i/>
                <w:iCs/>
                <w:sz w:val="20"/>
              </w:rPr>
              <w:t>提供软件著作权证书材料证明。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《产品彩页》或《技术白皮书》或《软件著作》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9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</w:rPr>
              <w:t>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技术指标5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▲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ascii="黑体" w:hAnsi="宋体" w:eastAsia="黑体" w:cs="黑体"/>
                <w:i/>
                <w:iCs/>
                <w:sz w:val="20"/>
              </w:rPr>
              <w:t>完善的医疗数据管理：支持病人信息录入，以病人信息为基准进行数据管理，多样化数据检索功能，可根据病人的姓名、出生年月、测量日期等信息对数据进行检索查看；（提供证明材料）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ascii="黑体" w:hAnsi="宋体" w:eastAsia="黑体" w:cs="黑体"/>
                <w:i/>
                <w:iCs/>
                <w:sz w:val="20"/>
              </w:rPr>
              <w:t>内置脑功能检查模块--语言流畅性检测，提取积分值、重心值和斜率等特征参数，提取脑激活波形图谱、三维脑图、特征值图表等指标参数，一键生成脑功能检查报告，并提供结果提示及报告模板。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ascii="黑体" w:hAnsi="宋体" w:eastAsia="黑体" w:cs="黑体"/>
                <w:i/>
                <w:iCs/>
                <w:sz w:val="20"/>
              </w:rPr>
              <w:t>提供科学研究分析软件，具备一站式数据分析功能，提供数据预处理、伪迹识别与校正、事件编辑、区块平均脑激活计算、一般线性模型GLM脑激活计算、脑网络连接计算、统计分析、批处理、结果可视化、超扫描分析等功能。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《技术白皮书》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</w:rPr>
              <w:t>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技术指标6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▲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兼容第三方脑网络科学研究分析软件，支持脑网络连接计算；多条件的GLM系数估计；支持单样本T-test、双样本T-test、配对T-test、方差分析F-test数据分析；支持个体、群组数据分析；提供p值的FDR矫正；支持超扫描数据分析：支持对超扫描采集的双数据进行小波变换相干性（wavelet transform coherence）分析；支持超扫描小波变换相干分析的数值和图片结果一键批量导出；提供证明材料。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《技术白皮书》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</w:rPr>
              <w:t>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配置要求1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主机 1台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配置要求2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发射探头 8个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配置要求3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接收探头 8个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配置要求4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电源适配器 1个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配置要求5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探头适配器 1套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配置要求6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测量定位帽 3顶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配置要求7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系统软件 1套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配置要求8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分析软件 1套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配置要求9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高配置工作站 1套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配置要求10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台车 1套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综合实力1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</w:rPr>
            </w:pP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产品生产企业为高新技术企业。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《认证书》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综合实力2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</w:rPr>
            </w:pP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知识产权管理体系认证证书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</w:rPr>
              <w:t>20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验收标准方法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9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  <w:t>说明 ：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  <w:t>（1）★指标为必须响应指标，任意一项不满足要求即做废标处理</w:t>
      </w:r>
      <w:r>
        <w:rPr>
          <w:rFonts w:hint="eastAsia" w:cs="Times New Roman"/>
          <w:bCs/>
          <w:kern w:val="0"/>
          <w:sz w:val="28"/>
          <w:szCs w:val="28"/>
          <w:highlight w:val="yellow"/>
          <w:lang w:val="en-US" w:eastAsia="zh-CN" w:bidi="ar-SA"/>
        </w:rPr>
        <w:t>。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  <w:t>（2）</w:t>
      </w:r>
      <w:r>
        <w:rPr>
          <w:rFonts w:hint="eastAsia" w:cs="Times New Roman"/>
          <w:bCs/>
          <w:kern w:val="0"/>
          <w:sz w:val="28"/>
          <w:szCs w:val="28"/>
          <w:highlight w:val="yellow"/>
          <w:lang w:val="en-US" w:eastAsia="zh-CN" w:bidi="ar-SA"/>
        </w:rPr>
        <w:t>技术白皮书需加盖生产厂家公章。（进口设备可加盖国内总代理公章）。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</w:pPr>
      <w:r>
        <w:rPr>
          <w:rFonts w:hint="eastAsia" w:cs="Times New Roman"/>
          <w:bCs/>
          <w:kern w:val="0"/>
          <w:sz w:val="28"/>
          <w:szCs w:val="28"/>
          <w:highlight w:val="yellow"/>
          <w:lang w:val="en-US" w:eastAsia="zh-CN" w:bidi="ar-SA"/>
        </w:rPr>
        <w:t>（3）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  <w:t>证明材料为“企业承诺”的，</w:t>
      </w:r>
      <w:r>
        <w:rPr>
          <w:rFonts w:hint="eastAsia" w:cs="Times New Roman"/>
          <w:bCs/>
          <w:kern w:val="0"/>
          <w:sz w:val="28"/>
          <w:szCs w:val="28"/>
          <w:highlight w:val="yellow"/>
          <w:lang w:val="en-US" w:eastAsia="zh-CN" w:bidi="ar-SA"/>
        </w:rPr>
        <w:t>报价供应商在《技术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  <w:t>指标参数响应偏离表</w:t>
      </w:r>
      <w:r>
        <w:rPr>
          <w:rFonts w:hint="eastAsia" w:cs="Times New Roman"/>
          <w:bCs/>
          <w:kern w:val="0"/>
          <w:sz w:val="28"/>
          <w:szCs w:val="28"/>
          <w:highlight w:val="yellow"/>
          <w:lang w:val="en-US" w:eastAsia="zh-CN" w:bidi="ar-SA"/>
        </w:rPr>
        <w:t>》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  <w:t>中</w:t>
      </w:r>
      <w:r>
        <w:rPr>
          <w:rFonts w:hint="eastAsia" w:cs="Times New Roman"/>
          <w:bCs/>
          <w:kern w:val="0"/>
          <w:sz w:val="28"/>
          <w:szCs w:val="28"/>
          <w:highlight w:val="yellow"/>
          <w:lang w:val="en-US" w:eastAsia="zh-CN" w:bidi="ar-SA"/>
        </w:rPr>
        <w:t>响应或企业另附承诺均可，企业承诺不设格式要求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  <w:t>。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  <w:t>（</w:t>
      </w:r>
      <w:r>
        <w:rPr>
          <w:rFonts w:hint="eastAsia" w:cs="Times New Roman"/>
          <w:bCs/>
          <w:kern w:val="0"/>
          <w:sz w:val="28"/>
          <w:szCs w:val="28"/>
          <w:highlight w:val="yellow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  <w:t>）▲标识的指标负偏离≥</w:t>
      </w:r>
      <w:r>
        <w:rPr>
          <w:rFonts w:hint="eastAsia" w:cs="Times New Roman"/>
          <w:bCs/>
          <w:kern w:val="0"/>
          <w:sz w:val="28"/>
          <w:szCs w:val="28"/>
          <w:highlight w:val="yellow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  <w:t>项，投标企业技术参数指标正负偏离情况为0分；▲标识的指标和“无标识”指标负偏离≥</w:t>
      </w:r>
      <w:r>
        <w:rPr>
          <w:rFonts w:hint="eastAsia" w:cs="Times New Roman"/>
          <w:bCs/>
          <w:kern w:val="0"/>
          <w:sz w:val="28"/>
          <w:szCs w:val="28"/>
          <w:highlight w:val="yellow"/>
          <w:lang w:val="en-US" w:eastAsia="zh-CN" w:bidi="ar-SA"/>
        </w:rPr>
        <w:t>6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highlight w:val="yellow"/>
          <w:lang w:val="en-US" w:eastAsia="zh-CN" w:bidi="ar-SA"/>
        </w:rPr>
        <w:t>项，投标企业技术参数指标正负偏离情况为0分</w:t>
      </w:r>
      <w:r>
        <w:rPr>
          <w:rFonts w:hint="eastAsia" w:cs="Times New Roman"/>
          <w:bCs/>
          <w:kern w:val="0"/>
          <w:sz w:val="28"/>
          <w:szCs w:val="28"/>
          <w:highlight w:val="yellow"/>
          <w:lang w:val="en-US" w:eastAsia="zh-CN" w:bidi="ar-SA"/>
        </w:rPr>
        <w:t>。</w:t>
      </w:r>
    </w:p>
    <w:p>
      <w:pPr>
        <w:rPr>
          <w:rFonts w:hint="eastAsia"/>
          <w:lang w:val="en-US" w:eastAsia="zh-CN"/>
        </w:rPr>
      </w:pPr>
    </w:p>
    <w:p>
      <w:bookmarkStart w:id="39" w:name="_GoBack"/>
      <w:bookmarkEnd w:id="3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49746C"/>
    <w:multiLevelType w:val="singleLevel"/>
    <w:tmpl w:val="8F49746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6A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2026-09-08T23:30:29Z</dcterms:created>
  <dc:creator>admin</dc:creator>
  <cp:lastModifiedBy>admin</cp:lastModifiedBy>
  <dcterms:modified xsi:type="dcterms:W3CDTF">2026-09-08T23:30:48Z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